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97B5" w14:textId="538D6069" w:rsidR="0092223A" w:rsidRPr="00E672DB" w:rsidRDefault="0092223A" w:rsidP="0092223A">
      <w:pPr>
        <w:jc w:val="center"/>
        <w:rPr>
          <w:rFonts w:asciiTheme="minorHAnsi" w:hAnsiTheme="minorHAnsi" w:cstheme="minorHAnsi"/>
          <w:b/>
          <w:sz w:val="22"/>
          <w:szCs w:val="22"/>
          <w:lang w:val="es-EC"/>
        </w:rPr>
      </w:pPr>
      <w:bookmarkStart w:id="0" w:name="_GoBack"/>
      <w:bookmarkEnd w:id="0"/>
      <w:r w:rsidRPr="00E672DB">
        <w:rPr>
          <w:rFonts w:asciiTheme="minorHAnsi" w:hAnsiTheme="minorHAnsi" w:cstheme="minorHAnsi"/>
          <w:b/>
          <w:sz w:val="22"/>
          <w:szCs w:val="22"/>
          <w:lang w:val="es-EC"/>
        </w:rPr>
        <w:t xml:space="preserve">ACUERDO DE CONFIDENCIALIDAD </w:t>
      </w:r>
      <w:r w:rsidR="00404B2B" w:rsidRPr="00E672DB">
        <w:rPr>
          <w:rFonts w:asciiTheme="minorHAnsi" w:hAnsiTheme="minorHAnsi" w:cstheme="minorHAnsi"/>
          <w:b/>
          <w:sz w:val="22"/>
          <w:szCs w:val="22"/>
          <w:lang w:val="es-EC"/>
        </w:rPr>
        <w:t>SOBRE EL</w:t>
      </w:r>
      <w:r w:rsidRPr="00E672DB">
        <w:rPr>
          <w:rFonts w:asciiTheme="minorHAnsi" w:hAnsiTheme="minorHAnsi" w:cstheme="minorHAnsi"/>
          <w:b/>
          <w:sz w:val="22"/>
          <w:szCs w:val="22"/>
          <w:lang w:val="es-EC"/>
        </w:rPr>
        <w:t xml:space="preserve"> MANEJO DE DATOS E INFORMACION DE SOLICITUDES DE MEDIDAS ADMINISTRATIVAS DE PROTECCIÓN INMEDIATA-</w:t>
      </w:r>
      <w:proofErr w:type="spellStart"/>
      <w:r w:rsidRPr="00E672DB">
        <w:rPr>
          <w:rFonts w:asciiTheme="minorHAnsi" w:hAnsiTheme="minorHAnsi" w:cstheme="minorHAnsi"/>
          <w:b/>
          <w:sz w:val="22"/>
          <w:szCs w:val="22"/>
          <w:lang w:val="es-EC"/>
        </w:rPr>
        <w:t>MAPIs</w:t>
      </w:r>
      <w:proofErr w:type="spellEnd"/>
      <w:r w:rsidRPr="00E672DB">
        <w:rPr>
          <w:rFonts w:asciiTheme="minorHAnsi" w:hAnsiTheme="minorHAnsi" w:cstheme="minorHAnsi"/>
          <w:b/>
          <w:sz w:val="22"/>
          <w:szCs w:val="22"/>
          <w:lang w:val="es-EC"/>
        </w:rPr>
        <w:t xml:space="preserve"> </w:t>
      </w:r>
    </w:p>
    <w:p w14:paraId="1B987A42" w14:textId="77777777" w:rsidR="0092223A" w:rsidRPr="005F00F1" w:rsidRDefault="0092223A">
      <w:pPr>
        <w:pStyle w:val="Ttulo2"/>
        <w:spacing w:before="120"/>
        <w:jc w:val="both"/>
        <w:rPr>
          <w:rFonts w:asciiTheme="minorHAnsi" w:hAnsiTheme="minorHAnsi" w:cstheme="minorHAnsi"/>
          <w:b w:val="0"/>
          <w:smallCaps w:val="0"/>
          <w:sz w:val="20"/>
          <w:szCs w:val="22"/>
          <w:lang w:val="es-ES"/>
        </w:rPr>
      </w:pPr>
    </w:p>
    <w:p w14:paraId="08EC2F54" w14:textId="230BE5A3" w:rsidR="005A6D56" w:rsidRDefault="00C36C54">
      <w:pPr>
        <w:pStyle w:val="Ttulo2"/>
        <w:spacing w:before="120"/>
        <w:jc w:val="both"/>
        <w:rPr>
          <w:rFonts w:asciiTheme="minorHAnsi" w:hAnsiTheme="minorHAnsi" w:cstheme="minorHAnsi"/>
          <w:b w:val="0"/>
          <w:smallCaps w:val="0"/>
          <w:sz w:val="20"/>
          <w:szCs w:val="22"/>
          <w:lang w:val="es-ES"/>
        </w:rPr>
      </w:pPr>
      <w:r w:rsidRPr="005F00F1">
        <w:rPr>
          <w:rFonts w:asciiTheme="minorHAnsi" w:hAnsiTheme="minorHAnsi" w:cstheme="minorHAnsi"/>
          <w:b w:val="0"/>
          <w:smallCaps w:val="0"/>
          <w:sz w:val="20"/>
          <w:szCs w:val="22"/>
          <w:lang w:val="es-ES"/>
        </w:rPr>
        <w:t>En la ciudad de</w:t>
      </w:r>
      <w:r w:rsidR="0092223A" w:rsidRPr="005F00F1">
        <w:rPr>
          <w:rFonts w:asciiTheme="minorHAnsi" w:hAnsiTheme="minorHAnsi" w:cstheme="minorHAnsi"/>
          <w:b w:val="0"/>
          <w:smallCaps w:val="0"/>
          <w:sz w:val="20"/>
          <w:szCs w:val="22"/>
          <w:lang w:val="es-ES"/>
        </w:rPr>
        <w:t>…………</w:t>
      </w:r>
      <w:proofErr w:type="gramStart"/>
      <w:r w:rsidR="0092223A" w:rsidRPr="005F00F1">
        <w:rPr>
          <w:rFonts w:asciiTheme="minorHAnsi" w:hAnsiTheme="minorHAnsi" w:cstheme="minorHAnsi"/>
          <w:b w:val="0"/>
          <w:smallCaps w:val="0"/>
          <w:sz w:val="20"/>
          <w:szCs w:val="22"/>
          <w:lang w:val="es-ES"/>
        </w:rPr>
        <w:t>…….</w:t>
      </w:r>
      <w:proofErr w:type="gramEnd"/>
      <w:r w:rsidR="0092223A" w:rsidRPr="005F00F1">
        <w:rPr>
          <w:rFonts w:asciiTheme="minorHAnsi" w:hAnsiTheme="minorHAnsi" w:cstheme="minorHAnsi"/>
          <w:b w:val="0"/>
          <w:smallCaps w:val="0"/>
          <w:sz w:val="20"/>
          <w:szCs w:val="22"/>
          <w:lang w:val="es-ES"/>
        </w:rPr>
        <w:t>.</w:t>
      </w:r>
      <w:r w:rsidRPr="005F00F1">
        <w:rPr>
          <w:rFonts w:asciiTheme="minorHAnsi" w:hAnsiTheme="minorHAnsi" w:cstheme="minorHAnsi"/>
          <w:b w:val="0"/>
          <w:smallCaps w:val="0"/>
          <w:sz w:val="20"/>
          <w:szCs w:val="22"/>
          <w:lang w:val="es-ES"/>
        </w:rPr>
        <w:t xml:space="preserve">, a los </w:t>
      </w:r>
      <w:r w:rsidR="005E33A7" w:rsidRPr="005F00F1">
        <w:rPr>
          <w:rFonts w:asciiTheme="minorHAnsi" w:hAnsiTheme="minorHAnsi" w:cstheme="minorHAnsi"/>
          <w:b w:val="0"/>
          <w:smallCaps w:val="0"/>
          <w:sz w:val="20"/>
          <w:szCs w:val="22"/>
          <w:lang w:val="es-ES"/>
        </w:rPr>
        <w:t>…………</w:t>
      </w:r>
      <w:r w:rsidRPr="005F00F1">
        <w:rPr>
          <w:rFonts w:asciiTheme="minorHAnsi" w:hAnsiTheme="minorHAnsi" w:cstheme="minorHAnsi"/>
          <w:b w:val="0"/>
          <w:smallCaps w:val="0"/>
          <w:sz w:val="20"/>
          <w:szCs w:val="22"/>
          <w:lang w:val="es-ES"/>
        </w:rPr>
        <w:t xml:space="preserve"> días del mes de </w:t>
      </w:r>
      <w:r w:rsidR="005E33A7" w:rsidRPr="005F00F1">
        <w:rPr>
          <w:rFonts w:asciiTheme="minorHAnsi" w:hAnsiTheme="minorHAnsi" w:cstheme="minorHAnsi"/>
          <w:b w:val="0"/>
          <w:smallCaps w:val="0"/>
          <w:sz w:val="20"/>
          <w:szCs w:val="22"/>
          <w:lang w:val="es-ES"/>
        </w:rPr>
        <w:t>……………..</w:t>
      </w:r>
      <w:r w:rsidRPr="005F00F1">
        <w:rPr>
          <w:rFonts w:asciiTheme="minorHAnsi" w:hAnsiTheme="minorHAnsi" w:cstheme="minorHAnsi"/>
          <w:b w:val="0"/>
          <w:smallCaps w:val="0"/>
          <w:sz w:val="20"/>
          <w:szCs w:val="22"/>
          <w:lang w:val="es-ES"/>
        </w:rPr>
        <w:t xml:space="preserve"> de</w:t>
      </w:r>
      <w:r w:rsidR="005E33A7" w:rsidRPr="005F00F1">
        <w:rPr>
          <w:rFonts w:asciiTheme="minorHAnsi" w:hAnsiTheme="minorHAnsi" w:cstheme="minorHAnsi"/>
          <w:b w:val="0"/>
          <w:smallCaps w:val="0"/>
          <w:sz w:val="20"/>
          <w:szCs w:val="22"/>
          <w:lang w:val="es-ES"/>
        </w:rPr>
        <w:t>l año …………</w:t>
      </w:r>
      <w:r w:rsidRPr="005F00F1">
        <w:rPr>
          <w:rFonts w:asciiTheme="minorHAnsi" w:hAnsiTheme="minorHAnsi" w:cstheme="minorHAnsi"/>
          <w:b w:val="0"/>
          <w:smallCaps w:val="0"/>
          <w:sz w:val="20"/>
          <w:szCs w:val="22"/>
          <w:lang w:val="es-ES"/>
        </w:rPr>
        <w:t xml:space="preserve">, comparecen por una parte </w:t>
      </w:r>
      <w:r w:rsidR="005E33A7" w:rsidRPr="005F00F1">
        <w:rPr>
          <w:rFonts w:asciiTheme="minorHAnsi" w:hAnsiTheme="minorHAnsi" w:cstheme="minorHAnsi"/>
          <w:b w:val="0"/>
          <w:smallCaps w:val="0"/>
          <w:sz w:val="20"/>
          <w:szCs w:val="22"/>
          <w:lang w:val="es-ES"/>
        </w:rPr>
        <w:t>el/</w:t>
      </w:r>
      <w:r w:rsidRPr="005F00F1">
        <w:rPr>
          <w:rFonts w:asciiTheme="minorHAnsi" w:hAnsiTheme="minorHAnsi" w:cstheme="minorHAnsi"/>
          <w:b w:val="0"/>
          <w:smallCaps w:val="0"/>
          <w:sz w:val="20"/>
          <w:szCs w:val="22"/>
          <w:lang w:val="es-ES"/>
        </w:rPr>
        <w:t xml:space="preserve">la </w:t>
      </w:r>
      <w:r w:rsidR="0092223A" w:rsidRPr="005F00F1">
        <w:rPr>
          <w:rFonts w:asciiTheme="minorHAnsi" w:hAnsiTheme="minorHAnsi" w:cstheme="minorHAnsi"/>
          <w:b w:val="0"/>
          <w:smallCaps w:val="0"/>
          <w:sz w:val="20"/>
          <w:szCs w:val="22"/>
          <w:lang w:val="es-ES"/>
        </w:rPr>
        <w:t>señor</w:t>
      </w:r>
      <w:r w:rsidR="005E33A7" w:rsidRPr="005F00F1">
        <w:rPr>
          <w:rFonts w:asciiTheme="minorHAnsi" w:hAnsiTheme="minorHAnsi" w:cstheme="minorHAnsi"/>
          <w:b w:val="0"/>
          <w:smallCaps w:val="0"/>
          <w:sz w:val="20"/>
          <w:szCs w:val="22"/>
          <w:lang w:val="es-ES"/>
        </w:rPr>
        <w:t>/</w:t>
      </w:r>
      <w:r w:rsidR="0092223A" w:rsidRPr="005F00F1">
        <w:rPr>
          <w:rFonts w:asciiTheme="minorHAnsi" w:hAnsiTheme="minorHAnsi" w:cstheme="minorHAnsi"/>
          <w:b w:val="0"/>
          <w:smallCaps w:val="0"/>
          <w:sz w:val="20"/>
          <w:szCs w:val="22"/>
          <w:lang w:val="es-ES"/>
        </w:rPr>
        <w:t>señora</w:t>
      </w:r>
      <w:r w:rsidR="0037406A">
        <w:rPr>
          <w:rFonts w:asciiTheme="minorHAnsi" w:hAnsiTheme="minorHAnsi" w:cstheme="minorHAnsi"/>
          <w:b w:val="0"/>
          <w:smallCaps w:val="0"/>
          <w:sz w:val="20"/>
          <w:szCs w:val="22"/>
          <w:lang w:val="es-ES"/>
        </w:rPr>
        <w:t xml:space="preserve"> (nombres) ……….</w:t>
      </w:r>
      <w:r w:rsidR="0092223A" w:rsidRPr="005F00F1">
        <w:rPr>
          <w:rFonts w:asciiTheme="minorHAnsi" w:hAnsiTheme="minorHAnsi" w:cstheme="minorHAnsi"/>
          <w:b w:val="0"/>
          <w:smallCaps w:val="0"/>
          <w:sz w:val="20"/>
          <w:szCs w:val="22"/>
          <w:lang w:val="es-ES"/>
        </w:rPr>
        <w:t xml:space="preserve"> </w:t>
      </w:r>
      <w:r w:rsidR="005E33A7" w:rsidRPr="005F00F1">
        <w:rPr>
          <w:rFonts w:asciiTheme="minorHAnsi" w:hAnsiTheme="minorHAnsi" w:cstheme="minorHAnsi"/>
          <w:b w:val="0"/>
          <w:smallCaps w:val="0"/>
          <w:sz w:val="20"/>
          <w:szCs w:val="22"/>
          <w:lang w:val="es-ES"/>
        </w:rPr>
        <w:t>……………………………………</w:t>
      </w:r>
      <w:r w:rsidR="0092223A" w:rsidRPr="005F00F1">
        <w:rPr>
          <w:rFonts w:asciiTheme="minorHAnsi" w:hAnsiTheme="minorHAnsi" w:cstheme="minorHAnsi"/>
          <w:b w:val="0"/>
          <w:smallCaps w:val="0"/>
          <w:sz w:val="20"/>
          <w:szCs w:val="22"/>
          <w:lang w:val="es-ES"/>
        </w:rPr>
        <w:t>…….</w:t>
      </w:r>
      <w:r w:rsidR="005E33A7" w:rsidRPr="005F00F1">
        <w:rPr>
          <w:rFonts w:asciiTheme="minorHAnsi" w:hAnsiTheme="minorHAnsi" w:cstheme="minorHAnsi"/>
          <w:b w:val="0"/>
          <w:smallCaps w:val="0"/>
          <w:sz w:val="20"/>
          <w:szCs w:val="22"/>
          <w:lang w:val="es-ES"/>
        </w:rPr>
        <w:t>.</w:t>
      </w:r>
      <w:r w:rsidRPr="005F00F1">
        <w:rPr>
          <w:rFonts w:asciiTheme="minorHAnsi" w:hAnsiTheme="minorHAnsi" w:cstheme="minorHAnsi"/>
          <w:b w:val="0"/>
          <w:smallCaps w:val="0"/>
          <w:sz w:val="20"/>
          <w:szCs w:val="22"/>
          <w:lang w:val="es-ES"/>
        </w:rPr>
        <w:t>, con el cargo de</w:t>
      </w:r>
      <w:r w:rsidR="005E33A7" w:rsidRPr="005F00F1">
        <w:rPr>
          <w:rFonts w:asciiTheme="minorHAnsi" w:hAnsiTheme="minorHAnsi" w:cstheme="minorHAnsi"/>
          <w:b w:val="0"/>
          <w:smallCaps w:val="0"/>
          <w:sz w:val="20"/>
          <w:szCs w:val="22"/>
          <w:lang w:val="es-ES"/>
        </w:rPr>
        <w:t xml:space="preserve"> </w:t>
      </w:r>
      <w:r w:rsidR="0092223A" w:rsidRPr="005F00F1">
        <w:rPr>
          <w:rFonts w:asciiTheme="minorHAnsi" w:hAnsiTheme="minorHAnsi" w:cstheme="minorHAnsi"/>
          <w:b w:val="0"/>
          <w:smallCaps w:val="0"/>
          <w:sz w:val="20"/>
          <w:szCs w:val="22"/>
          <w:lang w:val="es-ES"/>
        </w:rPr>
        <w:t>(Gobernador/a</w:t>
      </w:r>
      <w:r w:rsidR="00D36215" w:rsidRPr="005F00F1">
        <w:rPr>
          <w:rFonts w:asciiTheme="minorHAnsi" w:hAnsiTheme="minorHAnsi" w:cstheme="minorHAnsi"/>
          <w:b w:val="0"/>
          <w:smallCaps w:val="0"/>
          <w:sz w:val="20"/>
          <w:szCs w:val="22"/>
          <w:lang w:val="es-ES"/>
        </w:rPr>
        <w:t>,</w:t>
      </w:r>
      <w:r w:rsidR="0092223A" w:rsidRPr="005F00F1">
        <w:rPr>
          <w:rFonts w:asciiTheme="minorHAnsi" w:hAnsiTheme="minorHAnsi" w:cstheme="minorHAnsi"/>
          <w:b w:val="0"/>
          <w:smallCaps w:val="0"/>
          <w:sz w:val="20"/>
          <w:szCs w:val="22"/>
          <w:lang w:val="es-ES"/>
        </w:rPr>
        <w:t xml:space="preserve"> </w:t>
      </w:r>
      <w:r w:rsidR="00E672DB">
        <w:rPr>
          <w:rFonts w:asciiTheme="minorHAnsi" w:hAnsiTheme="minorHAnsi" w:cstheme="minorHAnsi"/>
          <w:b w:val="0"/>
          <w:smallCaps w:val="0"/>
          <w:sz w:val="20"/>
          <w:szCs w:val="22"/>
          <w:lang w:val="es-ES"/>
        </w:rPr>
        <w:t xml:space="preserve"> de la Provincia de Manabí</w:t>
      </w:r>
      <w:r w:rsidR="0092223A" w:rsidRPr="005F00F1">
        <w:rPr>
          <w:rFonts w:asciiTheme="minorHAnsi" w:hAnsiTheme="minorHAnsi" w:cstheme="minorHAnsi"/>
          <w:b w:val="0"/>
          <w:smallCaps w:val="0"/>
          <w:sz w:val="20"/>
          <w:szCs w:val="22"/>
          <w:lang w:val="es-ES"/>
        </w:rPr>
        <w:t>)</w:t>
      </w:r>
      <w:r w:rsidR="005E33A7" w:rsidRPr="005F00F1">
        <w:rPr>
          <w:rFonts w:asciiTheme="minorHAnsi" w:hAnsiTheme="minorHAnsi" w:cstheme="minorHAnsi"/>
          <w:b w:val="0"/>
          <w:smallCaps w:val="0"/>
          <w:sz w:val="20"/>
          <w:szCs w:val="22"/>
          <w:lang w:val="es-ES"/>
        </w:rPr>
        <w:t xml:space="preserve">,  </w:t>
      </w:r>
      <w:r w:rsidR="0092223A" w:rsidRPr="005F00F1">
        <w:rPr>
          <w:rFonts w:asciiTheme="minorHAnsi" w:hAnsiTheme="minorHAnsi" w:cstheme="minorHAnsi"/>
          <w:b w:val="0"/>
          <w:smallCaps w:val="0"/>
          <w:sz w:val="20"/>
          <w:szCs w:val="22"/>
          <w:lang w:val="es-ES"/>
        </w:rPr>
        <w:t>y</w:t>
      </w:r>
      <w:r w:rsidR="003A799F" w:rsidRPr="005F00F1">
        <w:rPr>
          <w:rFonts w:asciiTheme="minorHAnsi" w:hAnsiTheme="minorHAnsi" w:cstheme="minorHAnsi"/>
          <w:b w:val="0"/>
          <w:smallCaps w:val="0"/>
          <w:sz w:val="20"/>
          <w:szCs w:val="22"/>
          <w:lang w:val="es-ES"/>
        </w:rPr>
        <w:t xml:space="preserve"> por otra parte,</w:t>
      </w:r>
      <w:r w:rsidR="0092223A" w:rsidRPr="005F00F1">
        <w:rPr>
          <w:rFonts w:asciiTheme="minorHAnsi" w:hAnsiTheme="minorHAnsi" w:cstheme="minorHAnsi"/>
          <w:b w:val="0"/>
          <w:smallCaps w:val="0"/>
          <w:sz w:val="20"/>
          <w:szCs w:val="22"/>
          <w:lang w:val="es-ES"/>
        </w:rPr>
        <w:t xml:space="preserve"> el señor/señora………………………………………..</w:t>
      </w:r>
      <w:r w:rsidRPr="005F00F1">
        <w:rPr>
          <w:rFonts w:asciiTheme="minorHAnsi" w:hAnsiTheme="minorHAnsi" w:cstheme="minorHAnsi"/>
          <w:b w:val="0"/>
          <w:smallCaps w:val="0"/>
          <w:sz w:val="20"/>
          <w:szCs w:val="22"/>
          <w:lang w:val="es-ES"/>
        </w:rPr>
        <w:t>con cargo de</w:t>
      </w:r>
      <w:r w:rsidR="0092223A" w:rsidRPr="005F00F1">
        <w:rPr>
          <w:rFonts w:asciiTheme="minorHAnsi" w:hAnsiTheme="minorHAnsi" w:cstheme="minorHAnsi"/>
          <w:b w:val="0"/>
          <w:smallCaps w:val="0"/>
          <w:sz w:val="20"/>
          <w:szCs w:val="22"/>
          <w:lang w:val="es-ES"/>
        </w:rPr>
        <w:t xml:space="preserve"> (colocar la denominación Teniente Político, Comisario Nacional o Intendente) </w:t>
      </w:r>
      <w:r w:rsidR="006F4210" w:rsidRPr="005F00F1">
        <w:rPr>
          <w:rFonts w:asciiTheme="minorHAnsi" w:hAnsiTheme="minorHAnsi" w:cstheme="minorHAnsi"/>
          <w:b w:val="0"/>
          <w:smallCaps w:val="0"/>
          <w:sz w:val="20"/>
          <w:szCs w:val="22"/>
          <w:lang w:val="es-ES"/>
        </w:rPr>
        <w:t>…………………………………………………………..</w:t>
      </w:r>
      <w:r w:rsidRPr="005F00F1">
        <w:rPr>
          <w:rFonts w:asciiTheme="minorHAnsi" w:hAnsiTheme="minorHAnsi" w:cstheme="minorHAnsi"/>
          <w:b w:val="0"/>
          <w:smallCaps w:val="0"/>
          <w:sz w:val="20"/>
          <w:szCs w:val="22"/>
          <w:lang w:val="es-ES"/>
        </w:rPr>
        <w:t>,</w:t>
      </w:r>
      <w:r w:rsidR="0092223A" w:rsidRPr="005F00F1">
        <w:rPr>
          <w:rFonts w:asciiTheme="minorHAnsi" w:hAnsiTheme="minorHAnsi" w:cstheme="minorHAnsi"/>
          <w:b w:val="0"/>
          <w:smallCaps w:val="0"/>
          <w:sz w:val="20"/>
          <w:szCs w:val="22"/>
          <w:lang w:val="es-ES"/>
        </w:rPr>
        <w:t xml:space="preserve"> de la </w:t>
      </w:r>
      <w:r w:rsidR="00BA6B1C" w:rsidRPr="005F00F1">
        <w:rPr>
          <w:rFonts w:asciiTheme="minorHAnsi" w:hAnsiTheme="minorHAnsi" w:cstheme="minorHAnsi"/>
          <w:b w:val="0"/>
          <w:smallCaps w:val="0"/>
          <w:sz w:val="20"/>
          <w:szCs w:val="22"/>
          <w:lang w:val="es-ES"/>
        </w:rPr>
        <w:t>provincia………..,cantón………….., parroquia…………….</w:t>
      </w:r>
      <w:r w:rsidRPr="005F00F1">
        <w:rPr>
          <w:rFonts w:asciiTheme="minorHAnsi" w:hAnsiTheme="minorHAnsi" w:cstheme="minorHAnsi"/>
          <w:b w:val="0"/>
          <w:smallCaps w:val="0"/>
          <w:sz w:val="20"/>
          <w:szCs w:val="22"/>
          <w:lang w:val="es-ES"/>
        </w:rPr>
        <w:t xml:space="preserve"> </w:t>
      </w:r>
      <w:proofErr w:type="gramStart"/>
      <w:r w:rsidR="0092223A" w:rsidRPr="005F00F1">
        <w:rPr>
          <w:rFonts w:asciiTheme="minorHAnsi" w:hAnsiTheme="minorHAnsi" w:cstheme="minorHAnsi"/>
          <w:b w:val="0"/>
          <w:smallCaps w:val="0"/>
          <w:sz w:val="20"/>
          <w:szCs w:val="22"/>
          <w:lang w:val="es-ES"/>
        </w:rPr>
        <w:t>quienes</w:t>
      </w:r>
      <w:proofErr w:type="gramEnd"/>
      <w:r w:rsidR="0092223A" w:rsidRPr="005F00F1">
        <w:rPr>
          <w:rFonts w:asciiTheme="minorHAnsi" w:hAnsiTheme="minorHAnsi" w:cstheme="minorHAnsi"/>
          <w:b w:val="0"/>
          <w:smallCaps w:val="0"/>
          <w:sz w:val="20"/>
          <w:szCs w:val="22"/>
          <w:lang w:val="es-ES"/>
        </w:rPr>
        <w:t xml:space="preserve"> de manera libre y voluntaria, en ejercicio de sus funciones legales y constitucionales, acuerdan suscribir el presente Acuerdo de Confidencialidad </w:t>
      </w:r>
      <w:r w:rsidR="008837F8" w:rsidRPr="005F00F1">
        <w:rPr>
          <w:rFonts w:asciiTheme="minorHAnsi" w:hAnsiTheme="minorHAnsi" w:cstheme="minorHAnsi"/>
          <w:b w:val="0"/>
          <w:smallCaps w:val="0"/>
          <w:sz w:val="20"/>
          <w:szCs w:val="22"/>
          <w:lang w:val="es-ES"/>
        </w:rPr>
        <w:t xml:space="preserve">sobre el manejo de datos e información de </w:t>
      </w:r>
      <w:r w:rsidR="0092223A" w:rsidRPr="005F00F1">
        <w:rPr>
          <w:rFonts w:asciiTheme="minorHAnsi" w:hAnsiTheme="minorHAnsi" w:cstheme="minorHAnsi"/>
          <w:b w:val="0"/>
          <w:smallCaps w:val="0"/>
          <w:sz w:val="20"/>
          <w:szCs w:val="22"/>
          <w:lang w:val="es-ES"/>
        </w:rPr>
        <w:t xml:space="preserve">solicitudes de medidas administrativas de protección inmediata, </w:t>
      </w:r>
      <w:r w:rsidR="00BA6B1C" w:rsidRPr="005F00F1">
        <w:rPr>
          <w:rFonts w:asciiTheme="minorHAnsi" w:hAnsiTheme="minorHAnsi" w:cstheme="minorHAnsi"/>
          <w:b w:val="0"/>
          <w:smallCaps w:val="0"/>
          <w:sz w:val="20"/>
          <w:szCs w:val="22"/>
          <w:lang w:val="es-ES"/>
        </w:rPr>
        <w:t>de conformidad</w:t>
      </w:r>
      <w:r w:rsidR="0092223A" w:rsidRPr="005F00F1">
        <w:rPr>
          <w:rFonts w:asciiTheme="minorHAnsi" w:hAnsiTheme="minorHAnsi" w:cstheme="minorHAnsi"/>
          <w:b w:val="0"/>
          <w:smallCaps w:val="0"/>
          <w:sz w:val="20"/>
          <w:szCs w:val="22"/>
          <w:lang w:val="es-ES"/>
        </w:rPr>
        <w:t xml:space="preserve"> a las siguientes cláusulas:</w:t>
      </w:r>
    </w:p>
    <w:p w14:paraId="185B4BBB" w14:textId="77777777" w:rsidR="005F00F1" w:rsidRPr="005F00F1" w:rsidRDefault="005F00F1" w:rsidP="005F00F1">
      <w:pPr>
        <w:rPr>
          <w:lang w:val="es-ES"/>
        </w:rPr>
      </w:pPr>
    </w:p>
    <w:tbl>
      <w:tblPr>
        <w:tblW w:w="9645" w:type="dxa"/>
        <w:tblInd w:w="21" w:type="dxa"/>
        <w:tblLayout w:type="fixed"/>
        <w:tblCellMar>
          <w:left w:w="115" w:type="dxa"/>
          <w:right w:w="115" w:type="dxa"/>
        </w:tblCellMar>
        <w:tblLook w:val="0000" w:firstRow="0" w:lastRow="0" w:firstColumn="0" w:lastColumn="0" w:noHBand="0" w:noVBand="0"/>
      </w:tblPr>
      <w:tblGrid>
        <w:gridCol w:w="9645"/>
      </w:tblGrid>
      <w:tr w:rsidR="005A6D56" w:rsidRPr="005F00F1" w14:paraId="281F6E22" w14:textId="77777777">
        <w:trPr>
          <w:trHeight w:val="288"/>
        </w:trPr>
        <w:tc>
          <w:tcPr>
            <w:tcW w:w="9645" w:type="dxa"/>
            <w:shd w:val="clear" w:color="auto" w:fill="595959"/>
            <w:vAlign w:val="center"/>
          </w:tcPr>
          <w:p w14:paraId="67E06F6C" w14:textId="77777777" w:rsidR="005A6D56" w:rsidRPr="005F00F1" w:rsidRDefault="00C36C54">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Primera: Antecedentes</w:t>
            </w:r>
          </w:p>
        </w:tc>
      </w:tr>
    </w:tbl>
    <w:p w14:paraId="58D0D768" w14:textId="77777777" w:rsidR="005A6D56" w:rsidRPr="005F00F1" w:rsidRDefault="00C36C54">
      <w:p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El presente documento está sujeto al cumplimiento de las siguientes normas legales vigentes en el Estado Ecuatoriano:</w:t>
      </w:r>
    </w:p>
    <w:tbl>
      <w:tblPr>
        <w:tblW w:w="9645" w:type="dxa"/>
        <w:tblInd w:w="-16" w:type="dxa"/>
        <w:tblLayout w:type="fixed"/>
        <w:tblCellMar>
          <w:top w:w="55" w:type="dxa"/>
          <w:bottom w:w="55" w:type="dxa"/>
        </w:tblCellMar>
        <w:tblLook w:val="04A0" w:firstRow="1" w:lastRow="0" w:firstColumn="1" w:lastColumn="0" w:noHBand="0" w:noVBand="1"/>
      </w:tblPr>
      <w:tblGrid>
        <w:gridCol w:w="1140"/>
        <w:gridCol w:w="2280"/>
        <w:gridCol w:w="6225"/>
      </w:tblGrid>
      <w:tr w:rsidR="005A6D56" w:rsidRPr="005F00F1" w14:paraId="1A31230D" w14:textId="77777777">
        <w:tc>
          <w:tcPr>
            <w:tcW w:w="1140" w:type="dxa"/>
            <w:tcBorders>
              <w:top w:val="single" w:sz="6" w:space="0" w:color="808080"/>
              <w:left w:val="single" w:sz="6" w:space="0" w:color="808080"/>
              <w:bottom w:val="single" w:sz="6" w:space="0" w:color="808080"/>
            </w:tcBorders>
            <w:shd w:val="clear" w:color="auto" w:fill="000000"/>
            <w:vAlign w:val="center"/>
          </w:tcPr>
          <w:p w14:paraId="5EE48E71" w14:textId="77777777" w:rsidR="005A6D56" w:rsidRPr="005F00F1" w:rsidRDefault="00C36C54">
            <w:pPr>
              <w:widowControl w:val="0"/>
              <w:spacing w:before="57" w:after="57"/>
              <w:jc w:val="center"/>
              <w:rPr>
                <w:rFonts w:asciiTheme="minorHAnsi" w:hAnsiTheme="minorHAnsi" w:cstheme="minorHAnsi"/>
              </w:rPr>
            </w:pPr>
            <w:r w:rsidRPr="005F00F1">
              <w:rPr>
                <w:rFonts w:asciiTheme="minorHAnsi" w:hAnsiTheme="minorHAnsi" w:cstheme="minorHAnsi"/>
                <w:b/>
                <w:smallCaps/>
                <w:color w:val="FFFFFF"/>
                <w:sz w:val="20"/>
                <w:szCs w:val="20"/>
                <w:lang w:val="es-ES"/>
              </w:rPr>
              <w:t>Tipo</w:t>
            </w:r>
          </w:p>
        </w:tc>
        <w:tc>
          <w:tcPr>
            <w:tcW w:w="2280" w:type="dxa"/>
            <w:tcBorders>
              <w:top w:val="single" w:sz="6" w:space="0" w:color="808080"/>
              <w:left w:val="single" w:sz="6" w:space="0" w:color="808080"/>
              <w:bottom w:val="single" w:sz="6" w:space="0" w:color="808080"/>
            </w:tcBorders>
            <w:shd w:val="clear" w:color="auto" w:fill="000000"/>
            <w:vAlign w:val="center"/>
          </w:tcPr>
          <w:p w14:paraId="013960D8" w14:textId="77777777" w:rsidR="005A6D56" w:rsidRPr="005F00F1" w:rsidRDefault="00C36C54">
            <w:pPr>
              <w:widowControl w:val="0"/>
              <w:spacing w:before="57" w:after="57"/>
              <w:jc w:val="center"/>
              <w:rPr>
                <w:rFonts w:asciiTheme="minorHAnsi" w:hAnsiTheme="minorHAnsi" w:cstheme="minorHAnsi"/>
              </w:rPr>
            </w:pPr>
            <w:r w:rsidRPr="005F00F1">
              <w:rPr>
                <w:rFonts w:asciiTheme="minorHAnsi" w:hAnsiTheme="minorHAnsi" w:cstheme="minorHAnsi"/>
                <w:b/>
                <w:smallCaps/>
                <w:color w:val="FFFFFF"/>
                <w:sz w:val="20"/>
                <w:szCs w:val="20"/>
                <w:lang w:val="es-ES"/>
              </w:rPr>
              <w:t>Norma jurídica</w:t>
            </w:r>
          </w:p>
        </w:tc>
        <w:tc>
          <w:tcPr>
            <w:tcW w:w="6225" w:type="dxa"/>
            <w:tcBorders>
              <w:top w:val="single" w:sz="6" w:space="0" w:color="808080"/>
              <w:left w:val="single" w:sz="6" w:space="0" w:color="808080"/>
              <w:bottom w:val="single" w:sz="6" w:space="0" w:color="808080"/>
              <w:right w:val="single" w:sz="6" w:space="0" w:color="808080"/>
            </w:tcBorders>
            <w:shd w:val="clear" w:color="auto" w:fill="000000"/>
            <w:vAlign w:val="center"/>
          </w:tcPr>
          <w:p w14:paraId="1144DF24" w14:textId="77777777" w:rsidR="005A6D56" w:rsidRPr="005F00F1" w:rsidRDefault="00C36C54">
            <w:pPr>
              <w:widowControl w:val="0"/>
              <w:spacing w:before="57" w:after="57"/>
              <w:jc w:val="center"/>
              <w:rPr>
                <w:rFonts w:asciiTheme="minorHAnsi" w:hAnsiTheme="minorHAnsi" w:cstheme="minorHAnsi"/>
              </w:rPr>
            </w:pPr>
            <w:r w:rsidRPr="005F00F1">
              <w:rPr>
                <w:rFonts w:asciiTheme="minorHAnsi" w:hAnsiTheme="minorHAnsi" w:cstheme="minorHAnsi"/>
                <w:b/>
                <w:smallCaps/>
                <w:color w:val="FFFFFF"/>
                <w:sz w:val="20"/>
                <w:szCs w:val="20"/>
                <w:lang w:val="es-ES"/>
              </w:rPr>
              <w:t>Artículo</w:t>
            </w:r>
          </w:p>
        </w:tc>
      </w:tr>
      <w:tr w:rsidR="0092223A" w:rsidRPr="00E672DB" w14:paraId="0068EC40" w14:textId="77777777" w:rsidTr="00140AE7">
        <w:trPr>
          <w:trHeight w:val="1393"/>
        </w:trPr>
        <w:tc>
          <w:tcPr>
            <w:tcW w:w="342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7A14F1" w14:textId="1822D570" w:rsidR="0092223A" w:rsidRPr="005F00F1" w:rsidRDefault="0092223A">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Constitución de la república del ecuador </w:t>
            </w:r>
          </w:p>
        </w:tc>
        <w:tc>
          <w:tcPr>
            <w:tcW w:w="6225" w:type="dxa"/>
            <w:tcBorders>
              <w:top w:val="single" w:sz="6" w:space="0" w:color="000000"/>
              <w:left w:val="single" w:sz="6" w:space="0" w:color="000000"/>
              <w:bottom w:val="single" w:sz="6" w:space="0" w:color="000000"/>
              <w:right w:val="single" w:sz="6" w:space="0" w:color="000000"/>
            </w:tcBorders>
            <w:vAlign w:val="center"/>
          </w:tcPr>
          <w:p w14:paraId="6D5508B3" w14:textId="77777777" w:rsidR="0092223A" w:rsidRPr="005F00F1" w:rsidRDefault="0092223A" w:rsidP="0092223A">
            <w:pPr>
              <w:suppressAutoHyphens w:val="0"/>
              <w:jc w:val="both"/>
              <w:rPr>
                <w:rFonts w:asciiTheme="minorHAnsi" w:hAnsiTheme="minorHAnsi" w:cstheme="minorHAnsi"/>
                <w:sz w:val="22"/>
                <w:szCs w:val="22"/>
                <w:lang w:val="es-ES_tradnl"/>
              </w:rPr>
            </w:pPr>
            <w:r w:rsidRPr="005F00F1">
              <w:rPr>
                <w:rFonts w:asciiTheme="minorHAnsi" w:hAnsiTheme="minorHAnsi" w:cstheme="minorHAnsi"/>
                <w:sz w:val="22"/>
                <w:szCs w:val="22"/>
                <w:lang w:val="es-ES_tradnl"/>
              </w:rPr>
              <w:t xml:space="preserve">El numeral 19 del artículo 66 de la Constitución de la República del Ecuador reconoce y garantiza el derecho a la protección de datos de carácter personal, que incluye el acceso a la decisión sobre información y datos de dicha naturaleza, así como su correspondiente protección.  El artículo </w:t>
            </w:r>
            <w:proofErr w:type="spellStart"/>
            <w:r w:rsidRPr="005F00F1">
              <w:rPr>
                <w:rFonts w:asciiTheme="minorHAnsi" w:hAnsiTheme="minorHAnsi" w:cstheme="minorHAnsi"/>
                <w:sz w:val="22"/>
                <w:szCs w:val="22"/>
                <w:lang w:val="es-ES_tradnl"/>
              </w:rPr>
              <w:t>ibídem</w:t>
            </w:r>
            <w:proofErr w:type="spellEnd"/>
            <w:r w:rsidRPr="005F00F1">
              <w:rPr>
                <w:rFonts w:asciiTheme="minorHAnsi" w:hAnsiTheme="minorHAnsi" w:cstheme="minorHAnsi"/>
                <w:sz w:val="22"/>
                <w:szCs w:val="22"/>
                <w:lang w:val="es-ES_tradnl"/>
              </w:rPr>
              <w:t xml:space="preserve"> dispone que la recolección, archivo, procesamiento, distribución o difusión de tales datos o información, requerirán la autorización del titular o el mandato de la Ley. </w:t>
            </w:r>
          </w:p>
          <w:p w14:paraId="018257A4" w14:textId="77777777" w:rsidR="0092223A" w:rsidRPr="005F00F1" w:rsidRDefault="0092223A">
            <w:pPr>
              <w:widowControl w:val="0"/>
              <w:spacing w:before="40" w:after="40"/>
              <w:jc w:val="both"/>
              <w:rPr>
                <w:rFonts w:asciiTheme="minorHAnsi" w:hAnsiTheme="minorHAnsi" w:cstheme="minorHAnsi"/>
                <w:smallCaps/>
                <w:sz w:val="20"/>
                <w:szCs w:val="20"/>
                <w:lang w:val="es-ES"/>
              </w:rPr>
            </w:pPr>
          </w:p>
        </w:tc>
      </w:tr>
      <w:tr w:rsidR="005A6D56" w:rsidRPr="00E672DB" w14:paraId="1E599797" w14:textId="77777777">
        <w:trPr>
          <w:trHeight w:val="1393"/>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1A66D3" w14:textId="77777777" w:rsidR="005A6D56" w:rsidRPr="005F00F1" w:rsidRDefault="00C36C54">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1E79E95" w14:textId="77777777" w:rsidR="005A6D56" w:rsidRPr="005F00F1" w:rsidRDefault="00C36C54">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Código Orgánico Integral Penal</w:t>
            </w:r>
          </w:p>
        </w:tc>
        <w:tc>
          <w:tcPr>
            <w:tcW w:w="6225" w:type="dxa"/>
            <w:tcBorders>
              <w:top w:val="single" w:sz="6" w:space="0" w:color="000000"/>
              <w:left w:val="single" w:sz="6" w:space="0" w:color="000000"/>
              <w:bottom w:val="single" w:sz="6" w:space="0" w:color="000000"/>
              <w:right w:val="single" w:sz="6" w:space="0" w:color="000000"/>
            </w:tcBorders>
            <w:vAlign w:val="center"/>
          </w:tcPr>
          <w:p w14:paraId="7DBB87E7" w14:textId="77777777" w:rsidR="005A6D56" w:rsidRPr="005F00F1" w:rsidRDefault="00C36C54">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“Art. 179.- Revelación de </w:t>
            </w:r>
            <w:proofErr w:type="gramStart"/>
            <w:r w:rsidRPr="005F00F1">
              <w:rPr>
                <w:rFonts w:asciiTheme="minorHAnsi" w:hAnsiTheme="minorHAnsi" w:cstheme="minorHAnsi"/>
                <w:smallCaps/>
                <w:sz w:val="20"/>
                <w:szCs w:val="20"/>
                <w:lang w:val="es-ES"/>
              </w:rPr>
              <w:t>secreto.-</w:t>
            </w:r>
            <w:proofErr w:type="gramEnd"/>
            <w:r w:rsidRPr="005F00F1">
              <w:rPr>
                <w:rFonts w:asciiTheme="minorHAnsi" w:hAnsiTheme="minorHAnsi" w:cstheme="minorHAnsi"/>
                <w:smallCaps/>
                <w:sz w:val="20"/>
                <w:szCs w:val="20"/>
                <w:lang w:val="es-ES"/>
              </w:rPr>
              <w:t xml:space="preserve"> La persona que teniendo conocimiento por razón de su estado u oficio, empleo, profesión o arte, de un secreto cuya divulgación pueda causar daño a otra persona y lo revele, será sancionada con pena privativa de libertad de seis meses a un año”.</w:t>
            </w:r>
          </w:p>
        </w:tc>
      </w:tr>
      <w:tr w:rsidR="005A6D56" w:rsidRPr="005F00F1" w14:paraId="10594F5E" w14:textId="77777777">
        <w:trPr>
          <w:trHeight w:val="5667"/>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E193A45" w14:textId="77777777" w:rsidR="005A6D56" w:rsidRPr="005F00F1" w:rsidRDefault="00C36C54">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lastRenderedPageBreak/>
              <w:t>Ley</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DD4EAB" w14:textId="77777777" w:rsidR="005A6D56" w:rsidRPr="005F00F1" w:rsidRDefault="00C36C54">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 Orgánica del Servicio Público</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D1FDBA6" w14:textId="77777777" w:rsidR="005A6D56" w:rsidRPr="005F00F1" w:rsidRDefault="00C36C54">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Art. 22.- Deberes de las o los servidores </w:t>
            </w:r>
            <w:proofErr w:type="gramStart"/>
            <w:r w:rsidRPr="005F00F1">
              <w:rPr>
                <w:rFonts w:asciiTheme="minorHAnsi" w:hAnsiTheme="minorHAnsi" w:cstheme="minorHAnsi"/>
                <w:smallCaps/>
                <w:sz w:val="20"/>
                <w:szCs w:val="20"/>
                <w:lang w:val="es-ES"/>
              </w:rPr>
              <w:t>públicos.-</w:t>
            </w:r>
            <w:proofErr w:type="gramEnd"/>
            <w:r w:rsidRPr="005F00F1">
              <w:rPr>
                <w:rFonts w:asciiTheme="minorHAnsi" w:hAnsiTheme="minorHAnsi" w:cstheme="minorHAnsi"/>
                <w:smallCaps/>
                <w:sz w:val="20"/>
                <w:szCs w:val="20"/>
                <w:lang w:val="es-ES"/>
              </w:rPr>
              <w:t xml:space="preserve"> Son deberes de las y los servidores públicos: </w:t>
            </w:r>
          </w:p>
          <w:p w14:paraId="0A3A4DDE" w14:textId="77777777" w:rsidR="005A6D56" w:rsidRPr="005F00F1" w:rsidRDefault="00C36C54">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“…Custodiar y cuidar la documentación e información que, por razón de su empleo, cargo o comisión tenga bajo su responsabilidad e impedir o evitar su uso indebido, sustracción, ocultamiento o inutilización.” </w:t>
            </w:r>
          </w:p>
          <w:p w14:paraId="79C9F9F6" w14:textId="77777777" w:rsidR="005A6D56" w:rsidRPr="005F00F1" w:rsidRDefault="005A6D56">
            <w:pPr>
              <w:widowControl w:val="0"/>
              <w:spacing w:before="40" w:after="40"/>
              <w:jc w:val="both"/>
              <w:rPr>
                <w:rFonts w:asciiTheme="minorHAnsi" w:hAnsiTheme="minorHAnsi" w:cstheme="minorHAnsi"/>
                <w:smallCaps/>
                <w:sz w:val="20"/>
                <w:szCs w:val="20"/>
                <w:lang w:val="es-ES"/>
              </w:rPr>
            </w:pPr>
          </w:p>
          <w:p w14:paraId="54875B09" w14:textId="77777777" w:rsidR="005A6D56" w:rsidRPr="005F00F1" w:rsidRDefault="00C36C54">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Art. 42.- De las faltas </w:t>
            </w:r>
            <w:proofErr w:type="gramStart"/>
            <w:r w:rsidRPr="005F00F1">
              <w:rPr>
                <w:rFonts w:asciiTheme="minorHAnsi" w:hAnsiTheme="minorHAnsi" w:cstheme="minorHAnsi"/>
                <w:smallCaps/>
                <w:sz w:val="20"/>
                <w:szCs w:val="20"/>
                <w:lang w:val="es-ES"/>
              </w:rPr>
              <w:t>disciplinarias.-</w:t>
            </w:r>
            <w:proofErr w:type="gramEnd"/>
            <w:r w:rsidRPr="005F00F1">
              <w:rPr>
                <w:rFonts w:asciiTheme="minorHAnsi" w:hAnsiTheme="minorHAnsi" w:cstheme="minorHAnsi"/>
                <w:smallCaps/>
                <w:sz w:val="20"/>
                <w:szCs w:val="20"/>
                <w:lang w:val="es-ES"/>
              </w:rPr>
              <w:t xml:space="preserve"> Se considera faltas disciplinarias aquellas acciones u omisiones de las servidoras o servidores públicos que contravengan las disposiciones del ordenamiento jurídico vigente en la República y esta ley, en lo atinente a derechos y prohibiciones constitucionales o legales. Serán sancionadas por la autoridad nominadora o su delegado. Para efectos de la aplicación de esta ley, las faltas se clasifican en leves y graves. </w:t>
            </w:r>
          </w:p>
          <w:p w14:paraId="67BC4E18" w14:textId="77777777" w:rsidR="005A6D56" w:rsidRPr="005F00F1" w:rsidRDefault="005A6D56">
            <w:pPr>
              <w:widowControl w:val="0"/>
              <w:spacing w:before="40" w:after="40"/>
              <w:jc w:val="both"/>
              <w:rPr>
                <w:rFonts w:asciiTheme="minorHAnsi" w:hAnsiTheme="minorHAnsi" w:cstheme="minorHAnsi"/>
                <w:smallCaps/>
                <w:sz w:val="20"/>
                <w:szCs w:val="20"/>
                <w:lang w:val="es-ES"/>
              </w:rPr>
            </w:pPr>
          </w:p>
          <w:p w14:paraId="3E0CE927" w14:textId="77777777" w:rsidR="005A6D56" w:rsidRPr="005F00F1" w:rsidRDefault="00C36C54">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Art. 44.- Sumario </w:t>
            </w:r>
            <w:proofErr w:type="gramStart"/>
            <w:r w:rsidRPr="005F00F1">
              <w:rPr>
                <w:rFonts w:asciiTheme="minorHAnsi" w:hAnsiTheme="minorHAnsi" w:cstheme="minorHAnsi"/>
                <w:smallCaps/>
                <w:sz w:val="20"/>
                <w:szCs w:val="20"/>
                <w:lang w:val="es-ES"/>
              </w:rPr>
              <w:t>administrativo.-</w:t>
            </w:r>
            <w:proofErr w:type="gramEnd"/>
            <w:r w:rsidRPr="005F00F1">
              <w:rPr>
                <w:rFonts w:asciiTheme="minorHAnsi" w:hAnsiTheme="minorHAnsi" w:cstheme="minorHAnsi"/>
                <w:smallCaps/>
                <w:sz w:val="20"/>
                <w:szCs w:val="20"/>
                <w:lang w:val="es-ES"/>
              </w:rPr>
              <w:t xml:space="preserve"> Es el proceso administrativo, oral y motivado por el cual el Ministerio del Trabajo determinará el cometimiento o no de las faltas administrativas graves establecidas en la presente Ley, por parte de una servidora o un servidor de una institución pública e impondrá la sanción disciplinaria correspondiente. (…) </w:t>
            </w:r>
          </w:p>
        </w:tc>
      </w:tr>
      <w:tr w:rsidR="008743A7" w:rsidRPr="00E672DB" w14:paraId="07527308" w14:textId="77777777">
        <w:trPr>
          <w:trHeight w:val="233"/>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7D0BCE0" w14:textId="745DC5D5"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EA99C5" w14:textId="4C7B7EFA"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 Orgánica de Transparencia y Acceso a la Información</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9702C9" w14:textId="624A4F5C"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El artículo 6 de la Ley Orgánica de Transparencia y Acceso a la Información Pública señala: “Información </w:t>
            </w:r>
            <w:r w:rsidR="00BA6B1C" w:rsidRPr="005F00F1">
              <w:rPr>
                <w:rFonts w:asciiTheme="minorHAnsi" w:hAnsiTheme="minorHAnsi" w:cstheme="minorHAnsi"/>
                <w:smallCaps/>
                <w:sz w:val="20"/>
                <w:szCs w:val="20"/>
                <w:lang w:val="es-ES"/>
              </w:rPr>
              <w:t>CONFIDENCIAL. -</w:t>
            </w:r>
            <w:r w:rsidRPr="005F00F1">
              <w:rPr>
                <w:rFonts w:asciiTheme="minorHAnsi" w:hAnsiTheme="minorHAnsi" w:cstheme="minorHAnsi"/>
                <w:smallCaps/>
                <w:sz w:val="20"/>
                <w:szCs w:val="20"/>
                <w:lang w:val="es-ES"/>
              </w:rPr>
              <w:t xml:space="preserve"> Se considera información confidencial aquella información pública personal, que no está sujeta al principio de publicidad y comprende aquella derivada de sus derechos personalísimos y fundamentales, especialmente aquellos señalados en los artículos 23 y 24 de la Constitución Política de la República. </w:t>
            </w:r>
          </w:p>
          <w:p w14:paraId="7C19DD79" w14:textId="2B52B57C"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El uso ilegal que se haga de la información personal o su divulgación, dará lugar a las acciones legales pertinentes”</w:t>
            </w:r>
          </w:p>
        </w:tc>
      </w:tr>
      <w:tr w:rsidR="008743A7" w:rsidRPr="005F00F1" w14:paraId="587055B1" w14:textId="77777777">
        <w:trPr>
          <w:trHeight w:val="233"/>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D468697"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5A62699"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 Orgánica de Transparencia y Acceso a la Información</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2389F4" w14:textId="77777777"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Art. 18 Protección de la Información </w:t>
            </w:r>
            <w:proofErr w:type="gramStart"/>
            <w:r w:rsidRPr="005F00F1">
              <w:rPr>
                <w:rFonts w:asciiTheme="minorHAnsi" w:hAnsiTheme="minorHAnsi" w:cstheme="minorHAnsi"/>
                <w:smallCaps/>
                <w:sz w:val="20"/>
                <w:szCs w:val="20"/>
                <w:lang w:val="es-ES"/>
              </w:rPr>
              <w:t>Reservada.-</w:t>
            </w:r>
            <w:proofErr w:type="gramEnd"/>
            <w:r w:rsidRPr="005F00F1">
              <w:rPr>
                <w:rFonts w:asciiTheme="minorHAnsi" w:hAnsiTheme="minorHAnsi" w:cstheme="minorHAnsi"/>
                <w:smallCaps/>
                <w:sz w:val="20"/>
                <w:szCs w:val="20"/>
                <w:lang w:val="es-ES"/>
              </w:rPr>
              <w:t xml:space="preserve"> La información clasificada previamente como reservada, permanecerá con tal carácter hasta un período de quince años desde su clasificación. La información reservada será desclasificada cuando se extingan las causas que dieron lugar a su clasificación. Se ampliará el período de reserva sobre cierta documentación siempre y cuando permanezcan y se justifiquen las causas que dieron origen a su clasificación. (…)</w:t>
            </w:r>
          </w:p>
        </w:tc>
      </w:tr>
      <w:tr w:rsidR="008743A7" w:rsidRPr="00E672DB" w14:paraId="2E6290A3" w14:textId="77777777">
        <w:trPr>
          <w:trHeight w:val="1399"/>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CB3965" w14:textId="3711C9B4"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Ley</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D658B2B" w14:textId="3857B44E"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E672DB">
              <w:rPr>
                <w:rFonts w:asciiTheme="minorHAnsi" w:hAnsiTheme="minorHAnsi" w:cstheme="minorHAnsi"/>
                <w:sz w:val="22"/>
                <w:szCs w:val="22"/>
                <w:lang w:val="es-EC"/>
              </w:rPr>
              <w:t>Ley del Sistema Nacional de Registro de Datos Públicos</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98C24A" w14:textId="79A109B1"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El artículo 6 de la Ley del Sistema Nacional de Registro de Datos Públicos, determina que: “Son confidenciales los datos de carácter personal, tales como: ideología, afiliación política o sindical, etnia, estado de salud, orientación sexual, religión, condición migratoria y los demás atinentes a la intimidad personal y en especial aquella información cuyo uso público atente contra los derechos humanos consagrados en la Constitución e instrumentos internacionales (…) La autoridad o funcionario que por la naturaleza de sus funciones custodie datos de carácter personal, deberá adoptar las medidas de seguridad necesarias para proteger y garantizar la reserva de la información que reposa en sus archivos”.</w:t>
            </w:r>
          </w:p>
        </w:tc>
      </w:tr>
      <w:tr w:rsidR="008743A7" w:rsidRPr="00E672DB" w14:paraId="630A5F87" w14:textId="77777777">
        <w:trPr>
          <w:trHeight w:val="1399"/>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945179"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lastRenderedPageBreak/>
              <w:t>acuerdo</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06778F"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Esquema Gubernamental de Seguridad de la Información EGSI v2.</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C25724E" w14:textId="77777777"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9.2.4 Acuerdos de Confidencialidad o no revelación </w:t>
            </w:r>
          </w:p>
          <w:p w14:paraId="639EED81" w14:textId="77777777"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 xml:space="preserve">Elaborar   el   acuerdo   de   confidencialidad   observando   los   requisitos   que    deben    ser parte del mismo, considerando la no divulgación de la información de acuerdo a la necesidad de la institución.  </w:t>
            </w:r>
          </w:p>
        </w:tc>
      </w:tr>
      <w:tr w:rsidR="008743A7" w:rsidRPr="00E672DB" w14:paraId="79E7A2F7" w14:textId="77777777">
        <w:trPr>
          <w:trHeight w:val="1121"/>
        </w:trPr>
        <w:tc>
          <w:tcPr>
            <w:tcW w:w="11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FFFACF0"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Norma</w:t>
            </w:r>
          </w:p>
        </w:tc>
        <w:tc>
          <w:tcPr>
            <w:tcW w:w="22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9A466F" w14:textId="77777777" w:rsidR="008743A7" w:rsidRPr="005F00F1" w:rsidRDefault="008743A7" w:rsidP="008743A7">
            <w:pPr>
              <w:widowControl w:val="0"/>
              <w:spacing w:before="40" w:after="40"/>
              <w:jc w:val="center"/>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Normas de Control Interno de la Contraloría General del Estado.</w:t>
            </w:r>
          </w:p>
        </w:tc>
        <w:tc>
          <w:tcPr>
            <w:tcW w:w="62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8CE298" w14:textId="77777777"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410-11 Seguridad de tecnología de información</w:t>
            </w:r>
          </w:p>
          <w:p w14:paraId="0ADDCBFF" w14:textId="77777777" w:rsidR="008743A7" w:rsidRPr="005F00F1" w:rsidRDefault="008743A7" w:rsidP="008743A7">
            <w:pPr>
              <w:widowControl w:val="0"/>
              <w:spacing w:before="40" w:after="40"/>
              <w:jc w:val="both"/>
              <w:rPr>
                <w:rFonts w:asciiTheme="minorHAnsi" w:hAnsiTheme="minorHAnsi" w:cstheme="minorHAnsi"/>
                <w:smallCaps/>
                <w:sz w:val="20"/>
                <w:szCs w:val="20"/>
                <w:lang w:val="es-ES"/>
              </w:rPr>
            </w:pPr>
            <w:r w:rsidRPr="005F00F1">
              <w:rPr>
                <w:rFonts w:asciiTheme="minorHAnsi" w:hAnsiTheme="minorHAnsi" w:cstheme="minorHAnsi"/>
                <w:smallCaps/>
                <w:sz w:val="20"/>
                <w:szCs w:val="20"/>
                <w:lang w:val="es-ES"/>
              </w:rPr>
              <w:t>La unidad de tecnologías de la información y comunicaciones debe garantizar el cumplimiento de la normativa de protección de datos personal, propiedad intelectual del software, seguridad de la información, utilización de estándares, sistema so plataformas establecidas en el sector público (…)</w:t>
            </w:r>
          </w:p>
        </w:tc>
      </w:tr>
    </w:tbl>
    <w:p w14:paraId="4663D9D0" w14:textId="77777777" w:rsidR="005A6D56" w:rsidRPr="005F00F1" w:rsidRDefault="005A6D56">
      <w:pPr>
        <w:spacing w:before="120" w:after="120"/>
        <w:jc w:val="both"/>
        <w:rPr>
          <w:rFonts w:asciiTheme="minorHAnsi" w:hAnsiTheme="minorHAnsi" w:cstheme="minorHAnsi"/>
          <w:sz w:val="20"/>
          <w:szCs w:val="22"/>
          <w:lang w:val="es-ES"/>
        </w:rPr>
      </w:pPr>
    </w:p>
    <w:tbl>
      <w:tblPr>
        <w:tblW w:w="9645" w:type="dxa"/>
        <w:tblInd w:w="-9" w:type="dxa"/>
        <w:tblLayout w:type="fixed"/>
        <w:tblCellMar>
          <w:left w:w="115" w:type="dxa"/>
          <w:right w:w="115" w:type="dxa"/>
        </w:tblCellMar>
        <w:tblLook w:val="0000" w:firstRow="0" w:lastRow="0" w:firstColumn="0" w:lastColumn="0" w:noHBand="0" w:noVBand="0"/>
      </w:tblPr>
      <w:tblGrid>
        <w:gridCol w:w="9645"/>
      </w:tblGrid>
      <w:tr w:rsidR="005A6D56" w:rsidRPr="005F00F1" w14:paraId="6447808A" w14:textId="77777777">
        <w:trPr>
          <w:trHeight w:val="288"/>
        </w:trPr>
        <w:tc>
          <w:tcPr>
            <w:tcW w:w="9645" w:type="dxa"/>
            <w:shd w:val="clear" w:color="auto" w:fill="595959"/>
            <w:vAlign w:val="center"/>
          </w:tcPr>
          <w:p w14:paraId="7FA7D29B" w14:textId="04C72C1A" w:rsidR="005A6D56" w:rsidRPr="005F00F1" w:rsidRDefault="00C36C54">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 xml:space="preserve">Segunda: </w:t>
            </w:r>
            <w:r w:rsidR="008743A7" w:rsidRPr="005F00F1">
              <w:rPr>
                <w:rFonts w:asciiTheme="minorHAnsi" w:hAnsiTheme="minorHAnsi" w:cstheme="minorHAnsi"/>
                <w:sz w:val="22"/>
                <w:szCs w:val="22"/>
                <w:lang w:val="es-ES" w:eastAsia="es-ES" w:bidi="es-ES"/>
              </w:rPr>
              <w:t>objeto</w:t>
            </w:r>
          </w:p>
        </w:tc>
      </w:tr>
    </w:tbl>
    <w:p w14:paraId="261B0E45" w14:textId="77777777" w:rsidR="005A6D56" w:rsidRPr="005F00F1" w:rsidRDefault="005A6D56">
      <w:pPr>
        <w:spacing w:after="120"/>
        <w:jc w:val="both"/>
        <w:rPr>
          <w:rFonts w:asciiTheme="minorHAnsi" w:hAnsiTheme="minorHAnsi" w:cstheme="minorHAnsi"/>
          <w:sz w:val="20"/>
          <w:szCs w:val="22"/>
          <w:lang w:val="es-ES"/>
        </w:rPr>
      </w:pPr>
    </w:p>
    <w:p w14:paraId="6BB80A55" w14:textId="2E2D3FE0" w:rsidR="00BA6B1C" w:rsidRPr="005F00F1" w:rsidRDefault="008743A7">
      <w:pPr>
        <w:spacing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 xml:space="preserve">Establecer los parámetros y condiciones </w:t>
      </w:r>
      <w:r w:rsidR="00CD6792" w:rsidRPr="005F00F1">
        <w:rPr>
          <w:rFonts w:asciiTheme="minorHAnsi" w:hAnsiTheme="minorHAnsi" w:cstheme="minorHAnsi"/>
          <w:sz w:val="20"/>
          <w:szCs w:val="22"/>
          <w:lang w:val="es-ES"/>
        </w:rPr>
        <w:t>para</w:t>
      </w:r>
      <w:r w:rsidR="00BA6B1C" w:rsidRPr="005F00F1">
        <w:rPr>
          <w:rFonts w:asciiTheme="minorHAnsi" w:hAnsiTheme="minorHAnsi" w:cstheme="minorHAnsi"/>
          <w:sz w:val="20"/>
          <w:szCs w:val="22"/>
          <w:lang w:val="es-ES"/>
        </w:rPr>
        <w:t xml:space="preserve"> garantizar el manejo confidencial y reserva de datos </w:t>
      </w:r>
      <w:r w:rsidRPr="005F00F1">
        <w:rPr>
          <w:rFonts w:asciiTheme="minorHAnsi" w:hAnsiTheme="minorHAnsi" w:cstheme="minorHAnsi"/>
          <w:sz w:val="20"/>
          <w:szCs w:val="22"/>
          <w:lang w:val="es-ES"/>
        </w:rPr>
        <w:t xml:space="preserve">e </w:t>
      </w:r>
      <w:r w:rsidR="00CD6792" w:rsidRPr="005F00F1">
        <w:rPr>
          <w:rFonts w:asciiTheme="minorHAnsi" w:hAnsiTheme="minorHAnsi" w:cstheme="minorHAnsi"/>
          <w:sz w:val="20"/>
          <w:szCs w:val="22"/>
          <w:lang w:val="es-ES"/>
        </w:rPr>
        <w:t xml:space="preserve">información </w:t>
      </w:r>
      <w:r w:rsidR="00BA6B1C" w:rsidRPr="005F00F1">
        <w:rPr>
          <w:rFonts w:asciiTheme="minorHAnsi" w:hAnsiTheme="minorHAnsi" w:cstheme="minorHAnsi"/>
          <w:sz w:val="20"/>
          <w:szCs w:val="22"/>
          <w:lang w:val="es-ES"/>
        </w:rPr>
        <w:t>de usuarias</w:t>
      </w:r>
      <w:r w:rsidR="00CD6792" w:rsidRPr="005F00F1">
        <w:rPr>
          <w:rFonts w:asciiTheme="minorHAnsi" w:hAnsiTheme="minorHAnsi" w:cstheme="minorHAnsi"/>
          <w:sz w:val="20"/>
          <w:szCs w:val="22"/>
          <w:lang w:val="es-ES"/>
        </w:rPr>
        <w:t>/víctimas que solicitan medidas administrativas de protección inmediata</w:t>
      </w:r>
      <w:r w:rsidR="00BA6B1C" w:rsidRPr="005F00F1">
        <w:rPr>
          <w:rFonts w:asciiTheme="minorHAnsi" w:hAnsiTheme="minorHAnsi" w:cstheme="minorHAnsi"/>
          <w:sz w:val="20"/>
          <w:szCs w:val="22"/>
          <w:lang w:val="es-ES"/>
        </w:rPr>
        <w:t xml:space="preserve">, </w:t>
      </w:r>
      <w:r w:rsidR="00CD6792" w:rsidRPr="005F00F1">
        <w:rPr>
          <w:rFonts w:asciiTheme="minorHAnsi" w:hAnsiTheme="minorHAnsi" w:cstheme="minorHAnsi"/>
          <w:sz w:val="20"/>
          <w:szCs w:val="22"/>
          <w:lang w:val="es-ES"/>
        </w:rPr>
        <w:t xml:space="preserve">por parte de </w:t>
      </w:r>
      <w:r w:rsidRPr="005F00F1">
        <w:rPr>
          <w:rFonts w:asciiTheme="minorHAnsi" w:hAnsiTheme="minorHAnsi" w:cstheme="minorHAnsi"/>
          <w:sz w:val="20"/>
          <w:szCs w:val="22"/>
          <w:lang w:val="es-ES"/>
        </w:rPr>
        <w:t>Teniente Político</w:t>
      </w:r>
      <w:r w:rsidR="00CD6792" w:rsidRPr="005F00F1">
        <w:rPr>
          <w:rFonts w:asciiTheme="minorHAnsi" w:hAnsiTheme="minorHAnsi" w:cstheme="minorHAnsi"/>
          <w:sz w:val="20"/>
          <w:szCs w:val="22"/>
          <w:lang w:val="es-ES"/>
        </w:rPr>
        <w:t>/a</w:t>
      </w:r>
      <w:r w:rsidRPr="005F00F1">
        <w:rPr>
          <w:rFonts w:asciiTheme="minorHAnsi" w:hAnsiTheme="minorHAnsi" w:cstheme="minorHAnsi"/>
          <w:sz w:val="20"/>
          <w:szCs w:val="22"/>
          <w:lang w:val="es-ES"/>
        </w:rPr>
        <w:t>, Comisario</w:t>
      </w:r>
      <w:r w:rsidR="00CD6792" w:rsidRPr="005F00F1">
        <w:rPr>
          <w:rFonts w:asciiTheme="minorHAnsi" w:hAnsiTheme="minorHAnsi" w:cstheme="minorHAnsi"/>
          <w:sz w:val="20"/>
          <w:szCs w:val="22"/>
          <w:lang w:val="es-ES"/>
        </w:rPr>
        <w:t>/a</w:t>
      </w:r>
      <w:r w:rsidRPr="005F00F1">
        <w:rPr>
          <w:rFonts w:asciiTheme="minorHAnsi" w:hAnsiTheme="minorHAnsi" w:cstheme="minorHAnsi"/>
          <w:sz w:val="20"/>
          <w:szCs w:val="22"/>
          <w:lang w:val="es-ES"/>
        </w:rPr>
        <w:t xml:space="preserve"> Nacional de Policía, Intendente</w:t>
      </w:r>
      <w:r w:rsidR="00CD6792" w:rsidRPr="005F00F1">
        <w:rPr>
          <w:rFonts w:asciiTheme="minorHAnsi" w:hAnsiTheme="minorHAnsi" w:cstheme="minorHAnsi"/>
          <w:sz w:val="20"/>
          <w:szCs w:val="22"/>
          <w:lang w:val="es-ES"/>
        </w:rPr>
        <w:t>/a</w:t>
      </w:r>
      <w:r w:rsidRPr="005F00F1">
        <w:rPr>
          <w:rFonts w:asciiTheme="minorHAnsi" w:hAnsiTheme="minorHAnsi" w:cstheme="minorHAnsi"/>
          <w:sz w:val="20"/>
          <w:szCs w:val="22"/>
          <w:lang w:val="es-ES"/>
        </w:rPr>
        <w:t xml:space="preserve"> General de Policía, o </w:t>
      </w:r>
      <w:proofErr w:type="gramStart"/>
      <w:r w:rsidR="00CD6792" w:rsidRPr="005F00F1">
        <w:rPr>
          <w:rFonts w:asciiTheme="minorHAnsi" w:hAnsiTheme="minorHAnsi" w:cstheme="minorHAnsi"/>
          <w:sz w:val="20"/>
          <w:szCs w:val="22"/>
          <w:lang w:val="es-ES"/>
        </w:rPr>
        <w:t>Secretario</w:t>
      </w:r>
      <w:proofErr w:type="gramEnd"/>
      <w:r w:rsidR="00CD6792" w:rsidRPr="005F00F1">
        <w:rPr>
          <w:rFonts w:asciiTheme="minorHAnsi" w:hAnsiTheme="minorHAnsi" w:cstheme="minorHAnsi"/>
          <w:sz w:val="20"/>
          <w:szCs w:val="22"/>
          <w:lang w:val="es-ES"/>
        </w:rPr>
        <w:t>/Asistente.</w:t>
      </w:r>
    </w:p>
    <w:p w14:paraId="29EC85B0" w14:textId="04708557" w:rsidR="005A6D56" w:rsidRPr="005F00F1" w:rsidRDefault="008743A7">
      <w:pPr>
        <w:spacing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 xml:space="preserve"> </w:t>
      </w:r>
    </w:p>
    <w:tbl>
      <w:tblPr>
        <w:tblW w:w="9645" w:type="dxa"/>
        <w:tblInd w:w="21" w:type="dxa"/>
        <w:tblLayout w:type="fixed"/>
        <w:tblCellMar>
          <w:left w:w="115" w:type="dxa"/>
          <w:right w:w="115" w:type="dxa"/>
        </w:tblCellMar>
        <w:tblLook w:val="0000" w:firstRow="0" w:lastRow="0" w:firstColumn="0" w:lastColumn="0" w:noHBand="0" w:noVBand="0"/>
      </w:tblPr>
      <w:tblGrid>
        <w:gridCol w:w="9645"/>
      </w:tblGrid>
      <w:tr w:rsidR="005A6D56" w:rsidRPr="00E672DB" w14:paraId="0CE89B70" w14:textId="77777777">
        <w:trPr>
          <w:trHeight w:val="288"/>
        </w:trPr>
        <w:tc>
          <w:tcPr>
            <w:tcW w:w="9645" w:type="dxa"/>
            <w:shd w:val="clear" w:color="auto" w:fill="595959"/>
            <w:vAlign w:val="center"/>
          </w:tcPr>
          <w:p w14:paraId="71D17E56" w14:textId="03D9427E" w:rsidR="005A6D56" w:rsidRPr="005F00F1" w:rsidRDefault="00C36C54">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 xml:space="preserve">Tercera: </w:t>
            </w:r>
            <w:r w:rsidR="008743A7" w:rsidRPr="005F00F1">
              <w:rPr>
                <w:rFonts w:asciiTheme="minorHAnsi" w:hAnsiTheme="minorHAnsi" w:cstheme="minorHAnsi"/>
                <w:sz w:val="22"/>
                <w:szCs w:val="22"/>
                <w:lang w:val="es-ES" w:eastAsia="es-ES" w:bidi="es-ES"/>
              </w:rPr>
              <w:t xml:space="preserve">obligaciones de las partes </w:t>
            </w:r>
          </w:p>
        </w:tc>
      </w:tr>
    </w:tbl>
    <w:p w14:paraId="31D72AE6" w14:textId="5C45E3FE" w:rsidR="00404B2B" w:rsidRDefault="00404B2B" w:rsidP="00404B2B">
      <w:pPr>
        <w:pStyle w:val="Prrafodelista"/>
        <w:jc w:val="both"/>
        <w:rPr>
          <w:rFonts w:asciiTheme="minorHAnsi" w:hAnsiTheme="minorHAnsi" w:cstheme="minorHAnsi"/>
          <w:sz w:val="20"/>
          <w:szCs w:val="22"/>
          <w:lang w:val="es-ES"/>
        </w:rPr>
      </w:pPr>
      <w:r>
        <w:rPr>
          <w:rFonts w:asciiTheme="minorHAnsi" w:hAnsiTheme="minorHAnsi" w:cstheme="minorHAnsi"/>
          <w:sz w:val="20"/>
          <w:szCs w:val="22"/>
          <w:lang w:val="es-ES"/>
        </w:rPr>
        <w:t xml:space="preserve">Para los/as Tenientes Políticos, Comisarios Nacionales, Intendentes y Asistentes: </w:t>
      </w:r>
    </w:p>
    <w:p w14:paraId="74F5F95E" w14:textId="77777777" w:rsidR="00404B2B" w:rsidRPr="00404B2B" w:rsidRDefault="00404B2B" w:rsidP="00404B2B">
      <w:pPr>
        <w:pStyle w:val="Prrafodelista"/>
        <w:jc w:val="both"/>
        <w:rPr>
          <w:rFonts w:asciiTheme="minorHAnsi" w:hAnsiTheme="minorHAnsi" w:cstheme="minorHAnsi"/>
          <w:sz w:val="20"/>
          <w:szCs w:val="22"/>
          <w:lang w:val="es-ES"/>
        </w:rPr>
      </w:pPr>
    </w:p>
    <w:p w14:paraId="563258B2" w14:textId="2B247CDE" w:rsidR="000876A7" w:rsidRPr="005F00F1" w:rsidRDefault="00404B2B" w:rsidP="00E56431">
      <w:pPr>
        <w:pStyle w:val="Prrafodelista"/>
        <w:numPr>
          <w:ilvl w:val="0"/>
          <w:numId w:val="6"/>
        </w:numPr>
        <w:jc w:val="both"/>
        <w:rPr>
          <w:rFonts w:asciiTheme="minorHAnsi" w:hAnsiTheme="minorHAnsi" w:cstheme="minorHAnsi"/>
          <w:sz w:val="20"/>
          <w:szCs w:val="22"/>
          <w:lang w:val="es-ES"/>
        </w:rPr>
      </w:pPr>
      <w:r w:rsidRPr="00404B2B">
        <w:rPr>
          <w:rFonts w:asciiTheme="minorHAnsi" w:hAnsiTheme="minorHAnsi" w:cstheme="minorHAnsi"/>
          <w:b/>
          <w:bCs/>
          <w:sz w:val="20"/>
          <w:szCs w:val="22"/>
          <w:lang w:val="es-ES"/>
        </w:rPr>
        <w:t xml:space="preserve">Mantener la </w:t>
      </w:r>
      <w:proofErr w:type="gramStart"/>
      <w:r w:rsidRPr="00404B2B">
        <w:rPr>
          <w:rFonts w:asciiTheme="minorHAnsi" w:hAnsiTheme="minorHAnsi" w:cstheme="minorHAnsi"/>
          <w:b/>
          <w:bCs/>
          <w:sz w:val="20"/>
          <w:szCs w:val="22"/>
          <w:lang w:val="es-ES"/>
        </w:rPr>
        <w:t>confidencialidad.-</w:t>
      </w:r>
      <w:proofErr w:type="gramEnd"/>
      <w:r>
        <w:rPr>
          <w:rFonts w:asciiTheme="minorHAnsi" w:hAnsiTheme="minorHAnsi" w:cstheme="minorHAnsi"/>
          <w:sz w:val="20"/>
          <w:szCs w:val="22"/>
          <w:lang w:val="es-ES"/>
        </w:rPr>
        <w:t xml:space="preserve"> </w:t>
      </w:r>
      <w:r w:rsidR="000876A7" w:rsidRPr="005F00F1">
        <w:rPr>
          <w:rFonts w:asciiTheme="minorHAnsi" w:hAnsiTheme="minorHAnsi" w:cstheme="minorHAnsi"/>
          <w:sz w:val="20"/>
          <w:szCs w:val="22"/>
          <w:lang w:val="es-ES"/>
        </w:rPr>
        <w:t>Las partes reconocen que los datos e información de usuarias/víctimas que solicitan medidas administrativas de protección inmediata, tiene carácter de confidencial y reservada, por tanto, se obligan a no divulgarla y mantener estricta confidencialidad y sigilo en la recepción, gestión y retroalimentación de dicha información.</w:t>
      </w:r>
    </w:p>
    <w:p w14:paraId="64817F2D" w14:textId="707E83C8" w:rsidR="000876A7" w:rsidRPr="005F00F1" w:rsidRDefault="00404B2B" w:rsidP="00E56431">
      <w:pPr>
        <w:pStyle w:val="Prrafodelista"/>
        <w:numPr>
          <w:ilvl w:val="0"/>
          <w:numId w:val="6"/>
        </w:numPr>
        <w:jc w:val="both"/>
        <w:rPr>
          <w:rFonts w:asciiTheme="minorHAnsi" w:hAnsiTheme="minorHAnsi" w:cstheme="minorHAnsi"/>
          <w:sz w:val="20"/>
          <w:szCs w:val="22"/>
          <w:lang w:val="es-ES"/>
        </w:rPr>
      </w:pPr>
      <w:r w:rsidRPr="00404B2B">
        <w:rPr>
          <w:rFonts w:asciiTheme="minorHAnsi" w:hAnsiTheme="minorHAnsi" w:cstheme="minorHAnsi"/>
          <w:b/>
          <w:bCs/>
          <w:sz w:val="20"/>
          <w:szCs w:val="22"/>
          <w:lang w:val="es-ES"/>
        </w:rPr>
        <w:t xml:space="preserve">No divulgar la </w:t>
      </w:r>
      <w:proofErr w:type="gramStart"/>
      <w:r w:rsidRPr="00404B2B">
        <w:rPr>
          <w:rFonts w:asciiTheme="minorHAnsi" w:hAnsiTheme="minorHAnsi" w:cstheme="minorHAnsi"/>
          <w:b/>
          <w:bCs/>
          <w:sz w:val="20"/>
          <w:szCs w:val="22"/>
          <w:lang w:val="es-ES"/>
        </w:rPr>
        <w:t>información.-</w:t>
      </w:r>
      <w:proofErr w:type="gramEnd"/>
      <w:r>
        <w:rPr>
          <w:rFonts w:asciiTheme="minorHAnsi" w:hAnsiTheme="minorHAnsi" w:cstheme="minorHAnsi"/>
          <w:sz w:val="20"/>
          <w:szCs w:val="22"/>
          <w:lang w:val="es-ES"/>
        </w:rPr>
        <w:t xml:space="preserve"> </w:t>
      </w:r>
      <w:r w:rsidR="000876A7" w:rsidRPr="005F00F1">
        <w:rPr>
          <w:rFonts w:asciiTheme="minorHAnsi" w:hAnsiTheme="minorHAnsi" w:cstheme="minorHAnsi"/>
          <w:sz w:val="20"/>
          <w:szCs w:val="22"/>
          <w:lang w:val="es-ES"/>
        </w:rPr>
        <w:t>Ninguna de las partes podrá reproducir, modificar, hacer pública o divulgar a terceros los datos e información objeto del presente Acuerdo.</w:t>
      </w:r>
    </w:p>
    <w:p w14:paraId="683E2B8E" w14:textId="29336CCD" w:rsidR="00E56431" w:rsidRPr="005F00F1" w:rsidRDefault="00404B2B" w:rsidP="00E56431">
      <w:pPr>
        <w:pStyle w:val="Prrafodelista"/>
        <w:numPr>
          <w:ilvl w:val="0"/>
          <w:numId w:val="6"/>
        </w:numPr>
        <w:jc w:val="both"/>
        <w:rPr>
          <w:rFonts w:asciiTheme="minorHAnsi" w:hAnsiTheme="minorHAnsi" w:cstheme="minorHAnsi"/>
          <w:sz w:val="20"/>
          <w:szCs w:val="22"/>
          <w:lang w:val="es-ES"/>
        </w:rPr>
      </w:pPr>
      <w:r w:rsidRPr="00404B2B">
        <w:rPr>
          <w:rFonts w:asciiTheme="minorHAnsi" w:hAnsiTheme="minorHAnsi" w:cstheme="minorHAnsi"/>
          <w:b/>
          <w:bCs/>
          <w:sz w:val="20"/>
          <w:szCs w:val="22"/>
          <w:lang w:val="es-ES"/>
        </w:rPr>
        <w:t xml:space="preserve">Utilizar la información única y exclusivamente para el propósito </w:t>
      </w:r>
      <w:proofErr w:type="gramStart"/>
      <w:r w:rsidRPr="00404B2B">
        <w:rPr>
          <w:rFonts w:asciiTheme="minorHAnsi" w:hAnsiTheme="minorHAnsi" w:cstheme="minorHAnsi"/>
          <w:b/>
          <w:bCs/>
          <w:sz w:val="20"/>
          <w:szCs w:val="22"/>
          <w:lang w:val="es-ES"/>
        </w:rPr>
        <w:t>establecido.-</w:t>
      </w:r>
      <w:proofErr w:type="gramEnd"/>
      <w:r>
        <w:rPr>
          <w:rFonts w:asciiTheme="minorHAnsi" w:hAnsiTheme="minorHAnsi" w:cstheme="minorHAnsi"/>
          <w:sz w:val="20"/>
          <w:szCs w:val="22"/>
          <w:lang w:val="es-ES"/>
        </w:rPr>
        <w:t xml:space="preserve"> </w:t>
      </w:r>
      <w:r w:rsidR="00E56431" w:rsidRPr="005F00F1">
        <w:rPr>
          <w:rFonts w:asciiTheme="minorHAnsi" w:hAnsiTheme="minorHAnsi" w:cstheme="minorHAnsi"/>
          <w:sz w:val="20"/>
          <w:szCs w:val="22"/>
          <w:lang w:val="es-ES"/>
        </w:rPr>
        <w:t xml:space="preserve">Las partes se obligan a usar la información confidencial única y exclusivamente para </w:t>
      </w:r>
      <w:r>
        <w:rPr>
          <w:rFonts w:asciiTheme="minorHAnsi" w:hAnsiTheme="minorHAnsi" w:cstheme="minorHAnsi"/>
          <w:sz w:val="20"/>
          <w:szCs w:val="22"/>
          <w:lang w:val="es-ES"/>
        </w:rPr>
        <w:t xml:space="preserve">gestionar la atención de solicitudes de </w:t>
      </w:r>
      <w:r w:rsidR="00E56431" w:rsidRPr="005F00F1">
        <w:rPr>
          <w:rFonts w:asciiTheme="minorHAnsi" w:hAnsiTheme="minorHAnsi" w:cstheme="minorHAnsi"/>
          <w:sz w:val="20"/>
          <w:szCs w:val="22"/>
          <w:lang w:val="es-ES"/>
        </w:rPr>
        <w:t xml:space="preserve">medidas administrativas de protección inmediata. </w:t>
      </w:r>
    </w:p>
    <w:p w14:paraId="32BD8167" w14:textId="011F5C4C" w:rsidR="00E56431" w:rsidRDefault="00404B2B" w:rsidP="00E56431">
      <w:pPr>
        <w:pStyle w:val="Prrafodelista"/>
        <w:numPr>
          <w:ilvl w:val="0"/>
          <w:numId w:val="6"/>
        </w:numPr>
        <w:jc w:val="both"/>
        <w:rPr>
          <w:rFonts w:asciiTheme="minorHAnsi" w:hAnsiTheme="minorHAnsi" w:cstheme="minorHAnsi"/>
          <w:sz w:val="20"/>
          <w:szCs w:val="22"/>
          <w:lang w:val="es-ES"/>
        </w:rPr>
      </w:pPr>
      <w:r w:rsidRPr="00404B2B">
        <w:rPr>
          <w:rFonts w:asciiTheme="minorHAnsi" w:hAnsiTheme="minorHAnsi" w:cstheme="minorHAnsi"/>
          <w:b/>
          <w:bCs/>
          <w:sz w:val="20"/>
          <w:szCs w:val="22"/>
          <w:lang w:val="es-ES"/>
        </w:rPr>
        <w:t xml:space="preserve">Proteger la </w:t>
      </w:r>
      <w:proofErr w:type="gramStart"/>
      <w:r w:rsidRPr="00404B2B">
        <w:rPr>
          <w:rFonts w:asciiTheme="minorHAnsi" w:hAnsiTheme="minorHAnsi" w:cstheme="minorHAnsi"/>
          <w:b/>
          <w:bCs/>
          <w:sz w:val="20"/>
          <w:szCs w:val="22"/>
          <w:lang w:val="es-ES"/>
        </w:rPr>
        <w:t>información.-</w:t>
      </w:r>
      <w:proofErr w:type="gramEnd"/>
      <w:r>
        <w:rPr>
          <w:rFonts w:asciiTheme="minorHAnsi" w:hAnsiTheme="minorHAnsi" w:cstheme="minorHAnsi"/>
          <w:sz w:val="20"/>
          <w:szCs w:val="22"/>
          <w:lang w:val="es-ES"/>
        </w:rPr>
        <w:t xml:space="preserve"> </w:t>
      </w:r>
      <w:r w:rsidR="00E56431" w:rsidRPr="005F00F1">
        <w:rPr>
          <w:rFonts w:asciiTheme="minorHAnsi" w:hAnsiTheme="minorHAnsi" w:cstheme="minorHAnsi"/>
          <w:sz w:val="20"/>
          <w:szCs w:val="22"/>
          <w:lang w:val="es-ES"/>
        </w:rPr>
        <w:t xml:space="preserve">Las partes se comprometen a tomar las medidas necesarias para proteger la información confidencial y evitar su pérdida, robo o acceso no autorizado. </w:t>
      </w:r>
    </w:p>
    <w:p w14:paraId="259F7BB1" w14:textId="1E3AB107" w:rsidR="00404B2B" w:rsidRDefault="00404B2B" w:rsidP="00404B2B">
      <w:pPr>
        <w:pStyle w:val="Prrafodelista"/>
        <w:jc w:val="both"/>
        <w:rPr>
          <w:rFonts w:asciiTheme="minorHAnsi" w:hAnsiTheme="minorHAnsi" w:cstheme="minorHAnsi"/>
          <w:sz w:val="20"/>
          <w:szCs w:val="22"/>
          <w:lang w:val="es-ES"/>
        </w:rPr>
      </w:pPr>
    </w:p>
    <w:p w14:paraId="2B425D40" w14:textId="04EB2BDC" w:rsidR="00404B2B" w:rsidRDefault="00404B2B" w:rsidP="00404B2B">
      <w:pPr>
        <w:pStyle w:val="Prrafodelista"/>
        <w:jc w:val="both"/>
        <w:rPr>
          <w:rFonts w:asciiTheme="minorHAnsi" w:hAnsiTheme="minorHAnsi" w:cstheme="minorHAnsi"/>
          <w:sz w:val="20"/>
          <w:szCs w:val="22"/>
          <w:lang w:val="es-ES"/>
        </w:rPr>
      </w:pPr>
      <w:r>
        <w:rPr>
          <w:rFonts w:asciiTheme="minorHAnsi" w:hAnsiTheme="minorHAnsi" w:cstheme="minorHAnsi"/>
          <w:sz w:val="20"/>
          <w:szCs w:val="22"/>
          <w:lang w:val="es-ES"/>
        </w:rPr>
        <w:t xml:space="preserve">Para el/la Gobernador/a y </w:t>
      </w:r>
      <w:proofErr w:type="gramStart"/>
      <w:r>
        <w:rPr>
          <w:rFonts w:asciiTheme="minorHAnsi" w:hAnsiTheme="minorHAnsi" w:cstheme="minorHAnsi"/>
          <w:sz w:val="20"/>
          <w:szCs w:val="22"/>
          <w:lang w:val="es-ES"/>
        </w:rPr>
        <w:t>Presidente</w:t>
      </w:r>
      <w:proofErr w:type="gramEnd"/>
      <w:r>
        <w:rPr>
          <w:rFonts w:asciiTheme="minorHAnsi" w:hAnsiTheme="minorHAnsi" w:cstheme="minorHAnsi"/>
          <w:sz w:val="20"/>
          <w:szCs w:val="22"/>
          <w:lang w:val="es-ES"/>
        </w:rPr>
        <w:t xml:space="preserve"> del Consejo de Gobierno de Galápagos</w:t>
      </w:r>
    </w:p>
    <w:p w14:paraId="218A6F4B" w14:textId="77777777" w:rsidR="00404B2B" w:rsidRPr="005F00F1" w:rsidRDefault="00404B2B" w:rsidP="00404B2B">
      <w:pPr>
        <w:pStyle w:val="Prrafodelista"/>
        <w:jc w:val="both"/>
        <w:rPr>
          <w:rFonts w:asciiTheme="minorHAnsi" w:hAnsiTheme="minorHAnsi" w:cstheme="minorHAnsi"/>
          <w:sz w:val="20"/>
          <w:szCs w:val="22"/>
          <w:lang w:val="es-ES"/>
        </w:rPr>
      </w:pPr>
    </w:p>
    <w:p w14:paraId="56F8CB5F" w14:textId="72F84685" w:rsidR="000876A7" w:rsidRPr="005F00F1" w:rsidRDefault="00404B2B" w:rsidP="00E56431">
      <w:pPr>
        <w:pStyle w:val="Prrafodelista"/>
        <w:numPr>
          <w:ilvl w:val="0"/>
          <w:numId w:val="6"/>
        </w:numPr>
        <w:jc w:val="both"/>
        <w:rPr>
          <w:rFonts w:asciiTheme="minorHAnsi" w:hAnsiTheme="minorHAnsi" w:cstheme="minorHAnsi"/>
          <w:sz w:val="20"/>
          <w:szCs w:val="22"/>
          <w:lang w:val="es-ES"/>
        </w:rPr>
      </w:pPr>
      <w:r>
        <w:rPr>
          <w:rFonts w:asciiTheme="minorHAnsi" w:hAnsiTheme="minorHAnsi" w:cstheme="minorHAnsi"/>
          <w:b/>
          <w:bCs/>
          <w:sz w:val="20"/>
          <w:szCs w:val="22"/>
          <w:lang w:val="es-ES"/>
        </w:rPr>
        <w:t xml:space="preserve">Actualizar el acta de </w:t>
      </w:r>
      <w:proofErr w:type="gramStart"/>
      <w:r>
        <w:rPr>
          <w:rFonts w:asciiTheme="minorHAnsi" w:hAnsiTheme="minorHAnsi" w:cstheme="minorHAnsi"/>
          <w:b/>
          <w:bCs/>
          <w:sz w:val="20"/>
          <w:szCs w:val="22"/>
          <w:lang w:val="es-ES"/>
        </w:rPr>
        <w:t>confidencialidad</w:t>
      </w:r>
      <w:r w:rsidRPr="00404B2B">
        <w:rPr>
          <w:rFonts w:asciiTheme="minorHAnsi" w:hAnsiTheme="minorHAnsi" w:cstheme="minorHAnsi"/>
          <w:b/>
          <w:bCs/>
          <w:sz w:val="20"/>
          <w:szCs w:val="22"/>
          <w:lang w:val="es-ES"/>
        </w:rPr>
        <w:t>.-</w:t>
      </w:r>
      <w:proofErr w:type="gramEnd"/>
      <w:r w:rsidR="000876A7" w:rsidRPr="005F00F1">
        <w:rPr>
          <w:rFonts w:asciiTheme="minorHAnsi" w:hAnsiTheme="minorHAnsi" w:cstheme="minorHAnsi"/>
          <w:sz w:val="20"/>
          <w:szCs w:val="22"/>
          <w:lang w:val="es-ES"/>
        </w:rPr>
        <w:t>En caso de que el/la Teniente Político, Comisario Nacional de Policía, Intendente General de Policía, o servidor/a público/a responsable de la atención a usuarias/víctimas que solicitan medidas administrativas de protección inmediata sea removido de sus funciones y se deba designar su reemplazo, “La Gobernación”, deberá</w:t>
      </w:r>
      <w:r>
        <w:rPr>
          <w:rFonts w:asciiTheme="minorHAnsi" w:hAnsiTheme="minorHAnsi" w:cstheme="minorHAnsi"/>
          <w:sz w:val="20"/>
          <w:szCs w:val="22"/>
          <w:lang w:val="es-ES"/>
        </w:rPr>
        <w:t xml:space="preserve"> </w:t>
      </w:r>
      <w:r w:rsidR="000876A7" w:rsidRPr="005F00F1">
        <w:rPr>
          <w:rFonts w:asciiTheme="minorHAnsi" w:hAnsiTheme="minorHAnsi" w:cstheme="minorHAnsi"/>
          <w:sz w:val="20"/>
          <w:szCs w:val="22"/>
          <w:lang w:val="es-ES"/>
        </w:rPr>
        <w:t xml:space="preserve"> suscribir un nuevo Acuerdo de Confidencialidad. </w:t>
      </w:r>
    </w:p>
    <w:p w14:paraId="22D3B756" w14:textId="4A4A466B" w:rsidR="005A6D56" w:rsidRPr="005F00F1" w:rsidRDefault="00404B2B" w:rsidP="00E56431">
      <w:pPr>
        <w:pStyle w:val="Prrafodelista"/>
        <w:numPr>
          <w:ilvl w:val="0"/>
          <w:numId w:val="6"/>
        </w:numPr>
        <w:jc w:val="both"/>
        <w:rPr>
          <w:rFonts w:asciiTheme="minorHAnsi" w:hAnsiTheme="minorHAnsi" w:cstheme="minorHAnsi"/>
          <w:sz w:val="20"/>
          <w:szCs w:val="22"/>
          <w:lang w:val="es-ES"/>
        </w:rPr>
      </w:pPr>
      <w:r w:rsidRPr="00404B2B">
        <w:rPr>
          <w:rFonts w:asciiTheme="minorHAnsi" w:hAnsiTheme="minorHAnsi" w:cstheme="minorHAnsi"/>
          <w:b/>
          <w:bCs/>
          <w:sz w:val="20"/>
          <w:szCs w:val="22"/>
          <w:lang w:val="es-ES"/>
        </w:rPr>
        <w:t xml:space="preserve">Disponer proceso administrativo </w:t>
      </w:r>
      <w:proofErr w:type="gramStart"/>
      <w:r w:rsidRPr="00404B2B">
        <w:rPr>
          <w:rFonts w:asciiTheme="minorHAnsi" w:hAnsiTheme="minorHAnsi" w:cstheme="minorHAnsi"/>
          <w:b/>
          <w:bCs/>
          <w:sz w:val="20"/>
          <w:szCs w:val="22"/>
          <w:lang w:val="es-ES"/>
        </w:rPr>
        <w:t>disciplinario</w:t>
      </w:r>
      <w:r>
        <w:rPr>
          <w:rFonts w:asciiTheme="minorHAnsi" w:hAnsiTheme="minorHAnsi" w:cstheme="minorHAnsi"/>
          <w:sz w:val="20"/>
          <w:szCs w:val="22"/>
          <w:lang w:val="es-ES"/>
        </w:rPr>
        <w:t>.-</w:t>
      </w:r>
      <w:proofErr w:type="gramEnd"/>
      <w:r w:rsidR="000876A7" w:rsidRPr="005F00F1">
        <w:rPr>
          <w:rFonts w:asciiTheme="minorHAnsi" w:hAnsiTheme="minorHAnsi" w:cstheme="minorHAnsi"/>
          <w:sz w:val="20"/>
          <w:szCs w:val="22"/>
          <w:lang w:val="es-ES"/>
        </w:rPr>
        <w:t>En caso de que se detecte</w:t>
      </w:r>
      <w:r>
        <w:rPr>
          <w:rFonts w:asciiTheme="minorHAnsi" w:hAnsiTheme="minorHAnsi" w:cstheme="minorHAnsi"/>
          <w:sz w:val="20"/>
          <w:szCs w:val="22"/>
          <w:lang w:val="es-ES"/>
        </w:rPr>
        <w:t xml:space="preserve"> o identifique </w:t>
      </w:r>
      <w:r w:rsidR="000876A7" w:rsidRPr="005F00F1">
        <w:rPr>
          <w:rFonts w:asciiTheme="minorHAnsi" w:hAnsiTheme="minorHAnsi" w:cstheme="minorHAnsi"/>
          <w:sz w:val="20"/>
          <w:szCs w:val="22"/>
          <w:lang w:val="es-ES"/>
        </w:rPr>
        <w:t xml:space="preserve"> fuga de información por parte del/la Teniente Político, Comisario Nacional de Policía, Intendente General de Policía, o servidor/a público/a responsable de la atención a usuarias/víctimas que solicitan medidas administrativas de protección inmediata., “la </w:t>
      </w:r>
      <w:r w:rsidR="00CD6792" w:rsidRPr="005F00F1">
        <w:rPr>
          <w:rFonts w:asciiTheme="minorHAnsi" w:hAnsiTheme="minorHAnsi" w:cstheme="minorHAnsi"/>
          <w:sz w:val="20"/>
          <w:szCs w:val="22"/>
          <w:lang w:val="es-ES"/>
        </w:rPr>
        <w:t>Gobernación” procederá</w:t>
      </w:r>
      <w:r w:rsidR="000876A7" w:rsidRPr="005F00F1">
        <w:rPr>
          <w:rFonts w:asciiTheme="minorHAnsi" w:hAnsiTheme="minorHAnsi" w:cstheme="minorHAnsi"/>
          <w:sz w:val="20"/>
          <w:szCs w:val="22"/>
          <w:lang w:val="es-ES"/>
        </w:rPr>
        <w:t xml:space="preserve"> conforme lo establece la Ley Orgánica del Servicio Público.</w:t>
      </w:r>
    </w:p>
    <w:p w14:paraId="067BD41E" w14:textId="77777777" w:rsidR="000876A7" w:rsidRDefault="000876A7">
      <w:pPr>
        <w:jc w:val="both"/>
        <w:rPr>
          <w:rFonts w:asciiTheme="minorHAnsi" w:hAnsiTheme="minorHAnsi" w:cstheme="minorHAnsi"/>
          <w:sz w:val="20"/>
          <w:szCs w:val="22"/>
          <w:lang w:val="es-ES"/>
        </w:rPr>
      </w:pPr>
    </w:p>
    <w:p w14:paraId="5C60D365" w14:textId="77777777" w:rsidR="00404B2B" w:rsidRDefault="00404B2B">
      <w:pPr>
        <w:jc w:val="both"/>
        <w:rPr>
          <w:rFonts w:asciiTheme="minorHAnsi" w:hAnsiTheme="minorHAnsi" w:cstheme="minorHAnsi"/>
          <w:sz w:val="20"/>
          <w:szCs w:val="22"/>
          <w:lang w:val="es-ES"/>
        </w:rPr>
      </w:pPr>
    </w:p>
    <w:p w14:paraId="0C412CED" w14:textId="77777777" w:rsidR="00404B2B" w:rsidRDefault="00404B2B">
      <w:pPr>
        <w:jc w:val="both"/>
        <w:rPr>
          <w:rFonts w:asciiTheme="minorHAnsi" w:hAnsiTheme="minorHAnsi" w:cstheme="minorHAnsi"/>
          <w:sz w:val="20"/>
          <w:szCs w:val="22"/>
          <w:lang w:val="es-ES"/>
        </w:rPr>
      </w:pPr>
    </w:p>
    <w:p w14:paraId="367DC8CC" w14:textId="77777777" w:rsidR="00404B2B" w:rsidRPr="005F00F1" w:rsidRDefault="00404B2B">
      <w:pPr>
        <w:jc w:val="both"/>
        <w:rPr>
          <w:rFonts w:asciiTheme="minorHAnsi" w:hAnsiTheme="minorHAnsi" w:cstheme="minorHAnsi"/>
          <w:sz w:val="20"/>
          <w:szCs w:val="22"/>
          <w:lang w:val="es-ES"/>
        </w:rPr>
      </w:pPr>
    </w:p>
    <w:p w14:paraId="2C197755" w14:textId="77777777" w:rsidR="000876A7" w:rsidRPr="005F00F1" w:rsidRDefault="000876A7">
      <w:pPr>
        <w:jc w:val="both"/>
        <w:rPr>
          <w:rFonts w:asciiTheme="minorHAnsi" w:hAnsiTheme="minorHAnsi" w:cstheme="minorHAnsi"/>
          <w:sz w:val="20"/>
          <w:szCs w:val="22"/>
          <w:lang w:val="es-ES"/>
        </w:rPr>
      </w:pPr>
    </w:p>
    <w:tbl>
      <w:tblPr>
        <w:tblW w:w="9705" w:type="dxa"/>
        <w:tblInd w:w="-24" w:type="dxa"/>
        <w:tblLayout w:type="fixed"/>
        <w:tblCellMar>
          <w:left w:w="115" w:type="dxa"/>
          <w:right w:w="115" w:type="dxa"/>
        </w:tblCellMar>
        <w:tblLook w:val="0000" w:firstRow="0" w:lastRow="0" w:firstColumn="0" w:lastColumn="0" w:noHBand="0" w:noVBand="0"/>
      </w:tblPr>
      <w:tblGrid>
        <w:gridCol w:w="9705"/>
      </w:tblGrid>
      <w:tr w:rsidR="005A6D56" w:rsidRPr="005F00F1" w14:paraId="6FFF06A6" w14:textId="77777777">
        <w:trPr>
          <w:trHeight w:val="288"/>
        </w:trPr>
        <w:tc>
          <w:tcPr>
            <w:tcW w:w="9705" w:type="dxa"/>
            <w:shd w:val="clear" w:color="auto" w:fill="595959"/>
            <w:vAlign w:val="center"/>
          </w:tcPr>
          <w:p w14:paraId="2F2D1803" w14:textId="44E81D17" w:rsidR="005A6D56" w:rsidRPr="005F00F1" w:rsidRDefault="00C36C54">
            <w:pPr>
              <w:pStyle w:val="Ttulo3"/>
              <w:widowControl w:val="0"/>
              <w:spacing w:before="57" w:after="57"/>
              <w:jc w:val="left"/>
              <w:rPr>
                <w:rFonts w:asciiTheme="minorHAnsi" w:hAnsiTheme="minorHAnsi" w:cstheme="minorHAnsi"/>
                <w:sz w:val="22"/>
                <w:szCs w:val="22"/>
                <w:lang w:val="es-ES" w:eastAsia="es-ES" w:bidi="es-ES"/>
              </w:rPr>
            </w:pPr>
            <w:bookmarkStart w:id="1" w:name="_Hlk195020453"/>
            <w:r w:rsidRPr="005F00F1">
              <w:rPr>
                <w:rFonts w:asciiTheme="minorHAnsi" w:hAnsiTheme="minorHAnsi" w:cstheme="minorHAnsi"/>
                <w:sz w:val="22"/>
                <w:szCs w:val="22"/>
                <w:lang w:val="es-ES" w:eastAsia="es-ES" w:bidi="es-ES"/>
              </w:rPr>
              <w:t xml:space="preserve">Cuarta: </w:t>
            </w:r>
            <w:r w:rsidR="000876A7" w:rsidRPr="005F00F1">
              <w:rPr>
                <w:rFonts w:asciiTheme="minorHAnsi" w:hAnsiTheme="minorHAnsi" w:cstheme="minorHAnsi"/>
                <w:sz w:val="22"/>
                <w:szCs w:val="22"/>
                <w:lang w:val="es-ES" w:eastAsia="es-ES" w:bidi="es-ES"/>
              </w:rPr>
              <w:t xml:space="preserve">Vigencia </w:t>
            </w:r>
          </w:p>
        </w:tc>
      </w:tr>
    </w:tbl>
    <w:bookmarkEnd w:id="1"/>
    <w:p w14:paraId="7676CAC1" w14:textId="128D069D" w:rsidR="000876A7" w:rsidRPr="005F00F1" w:rsidRDefault="000876A7">
      <w:p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lastRenderedPageBreak/>
        <w:t>El presente acuerdo tendrá vigencia mientras el/la Teniente Político, Comisario Nacional de Policía, Intendente General de Policía, o servidor/a público/a responsable de la atención a usuarias/víctimas que solicitan medidas administrativas de protección inmediata se encuentre legalmente en funciones.</w:t>
      </w:r>
    </w:p>
    <w:tbl>
      <w:tblPr>
        <w:tblW w:w="9705" w:type="dxa"/>
        <w:tblInd w:w="-24" w:type="dxa"/>
        <w:tblLayout w:type="fixed"/>
        <w:tblCellMar>
          <w:left w:w="115" w:type="dxa"/>
          <w:right w:w="115" w:type="dxa"/>
        </w:tblCellMar>
        <w:tblLook w:val="0000" w:firstRow="0" w:lastRow="0" w:firstColumn="0" w:lastColumn="0" w:noHBand="0" w:noVBand="0"/>
      </w:tblPr>
      <w:tblGrid>
        <w:gridCol w:w="9705"/>
      </w:tblGrid>
      <w:tr w:rsidR="000876A7" w:rsidRPr="005F00F1" w14:paraId="4D7238F4" w14:textId="77777777" w:rsidTr="00C249DE">
        <w:trPr>
          <w:trHeight w:val="288"/>
        </w:trPr>
        <w:tc>
          <w:tcPr>
            <w:tcW w:w="9705" w:type="dxa"/>
            <w:shd w:val="clear" w:color="auto" w:fill="595959"/>
            <w:vAlign w:val="center"/>
          </w:tcPr>
          <w:p w14:paraId="4CE377A8" w14:textId="25BCC7C8" w:rsidR="000876A7" w:rsidRPr="005F00F1" w:rsidRDefault="000876A7" w:rsidP="00C249DE">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 xml:space="preserve">Cuarta: Terminación del Acuerdo </w:t>
            </w:r>
          </w:p>
        </w:tc>
      </w:tr>
    </w:tbl>
    <w:p w14:paraId="3EB34DF1" w14:textId="77777777" w:rsidR="000876A7" w:rsidRPr="005F00F1" w:rsidRDefault="000876A7" w:rsidP="000876A7">
      <w:p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El Acuerdo de Confidencialidad terminará por las siguientes causas:</w:t>
      </w:r>
    </w:p>
    <w:p w14:paraId="7FC1E06E" w14:textId="77777777" w:rsidR="000876A7" w:rsidRPr="005F00F1" w:rsidRDefault="000876A7" w:rsidP="000876A7">
      <w:pPr>
        <w:spacing w:before="120" w:after="120"/>
        <w:jc w:val="both"/>
        <w:rPr>
          <w:rFonts w:asciiTheme="minorHAnsi" w:hAnsiTheme="minorHAnsi" w:cstheme="minorHAnsi"/>
          <w:sz w:val="20"/>
          <w:szCs w:val="22"/>
          <w:lang w:val="es-ES"/>
        </w:rPr>
      </w:pPr>
    </w:p>
    <w:p w14:paraId="4BCBC7EF" w14:textId="7E68B755" w:rsidR="000876A7" w:rsidRPr="005F00F1" w:rsidRDefault="000876A7" w:rsidP="000876A7">
      <w:pPr>
        <w:pStyle w:val="Prrafodelista"/>
        <w:numPr>
          <w:ilvl w:val="0"/>
          <w:numId w:val="4"/>
        </w:num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Expiración del contrato/nombramiento del Teniente Político, Comisario Nacional de Policía, Intendente General de Policía, o servidor/a público/a responsable de la atención a usuarias/víctimas que solicitan medidas administrativas de protección inmediata.;</w:t>
      </w:r>
    </w:p>
    <w:p w14:paraId="1E692F1C" w14:textId="2C9E88AB" w:rsidR="000876A7" w:rsidRPr="005F00F1" w:rsidRDefault="000876A7" w:rsidP="000876A7">
      <w:pPr>
        <w:pStyle w:val="Prrafodelista"/>
        <w:numPr>
          <w:ilvl w:val="0"/>
          <w:numId w:val="4"/>
        </w:num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Por haberse identificado fuga de información durante la gestión del Teniente Político, Comisario Nacional de Policía, Intendente General de Policía, o servidor/a público/a responsable de la atención a usuarias/víctimas que solicitan medidas administrativas de protección inmediata.</w:t>
      </w:r>
    </w:p>
    <w:p w14:paraId="0D6454E6" w14:textId="77777777" w:rsidR="000876A7" w:rsidRPr="005F00F1" w:rsidRDefault="000876A7">
      <w:pPr>
        <w:spacing w:before="120" w:after="120"/>
        <w:jc w:val="both"/>
        <w:rPr>
          <w:rFonts w:asciiTheme="minorHAnsi" w:hAnsiTheme="minorHAnsi" w:cstheme="minorHAnsi"/>
          <w:sz w:val="20"/>
          <w:szCs w:val="22"/>
          <w:lang w:val="es-ES"/>
        </w:rPr>
      </w:pPr>
    </w:p>
    <w:tbl>
      <w:tblPr>
        <w:tblW w:w="9705" w:type="dxa"/>
        <w:tblInd w:w="-24" w:type="dxa"/>
        <w:tblLayout w:type="fixed"/>
        <w:tblCellMar>
          <w:left w:w="115" w:type="dxa"/>
          <w:right w:w="115" w:type="dxa"/>
        </w:tblCellMar>
        <w:tblLook w:val="0000" w:firstRow="0" w:lastRow="0" w:firstColumn="0" w:lastColumn="0" w:noHBand="0" w:noVBand="0"/>
      </w:tblPr>
      <w:tblGrid>
        <w:gridCol w:w="9705"/>
      </w:tblGrid>
      <w:tr w:rsidR="000876A7" w:rsidRPr="005F00F1" w14:paraId="4AACEAD7" w14:textId="77777777" w:rsidTr="00C249DE">
        <w:trPr>
          <w:trHeight w:val="288"/>
        </w:trPr>
        <w:tc>
          <w:tcPr>
            <w:tcW w:w="9705" w:type="dxa"/>
            <w:shd w:val="clear" w:color="auto" w:fill="595959"/>
            <w:vAlign w:val="center"/>
          </w:tcPr>
          <w:p w14:paraId="0422EB63" w14:textId="423CCC0E" w:rsidR="000876A7" w:rsidRPr="005F00F1" w:rsidRDefault="000876A7" w:rsidP="00C249DE">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Quinta: S</w:t>
            </w:r>
            <w:r w:rsidR="00CD6792" w:rsidRPr="005F00F1">
              <w:rPr>
                <w:rFonts w:asciiTheme="minorHAnsi" w:hAnsiTheme="minorHAnsi" w:cstheme="minorHAnsi"/>
                <w:sz w:val="22"/>
                <w:szCs w:val="22"/>
                <w:lang w:val="es-ES" w:eastAsia="es-ES" w:bidi="es-ES"/>
              </w:rPr>
              <w:t>upervisión</w:t>
            </w:r>
            <w:r w:rsidRPr="005F00F1">
              <w:rPr>
                <w:rFonts w:asciiTheme="minorHAnsi" w:hAnsiTheme="minorHAnsi" w:cstheme="minorHAnsi"/>
                <w:sz w:val="22"/>
                <w:szCs w:val="22"/>
                <w:lang w:val="es-ES" w:eastAsia="es-ES" w:bidi="es-ES"/>
              </w:rPr>
              <w:t xml:space="preserve"> Y Archivo </w:t>
            </w:r>
          </w:p>
        </w:tc>
      </w:tr>
    </w:tbl>
    <w:p w14:paraId="579B60AF" w14:textId="2E60CAD8" w:rsidR="000876A7" w:rsidRPr="005F00F1" w:rsidRDefault="000876A7">
      <w:p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La supervisión directa de la ejecución del presente Acuerdo de Confidencialidad estará a cargo de “La Gobernación”;</w:t>
      </w:r>
      <w:r w:rsidR="00E56431" w:rsidRPr="005F00F1">
        <w:rPr>
          <w:rFonts w:asciiTheme="minorHAnsi" w:hAnsiTheme="minorHAnsi" w:cstheme="minorHAnsi"/>
          <w:sz w:val="20"/>
          <w:szCs w:val="22"/>
          <w:lang w:val="es-ES"/>
        </w:rPr>
        <w:t xml:space="preserve"> </w:t>
      </w:r>
      <w:r w:rsidR="00404B2B">
        <w:rPr>
          <w:rFonts w:asciiTheme="minorHAnsi" w:hAnsiTheme="minorHAnsi" w:cstheme="minorHAnsi"/>
          <w:sz w:val="20"/>
          <w:szCs w:val="22"/>
          <w:lang w:val="es-ES"/>
        </w:rPr>
        <w:t xml:space="preserve">y </w:t>
      </w:r>
      <w:r w:rsidRPr="005F00F1">
        <w:rPr>
          <w:rFonts w:asciiTheme="minorHAnsi" w:hAnsiTheme="minorHAnsi" w:cstheme="minorHAnsi"/>
          <w:sz w:val="20"/>
          <w:szCs w:val="22"/>
          <w:lang w:val="es-ES"/>
        </w:rPr>
        <w:t xml:space="preserve">deberá incluir el presente acuerdo en el expediente personal del servidor/a. </w:t>
      </w:r>
    </w:p>
    <w:tbl>
      <w:tblPr>
        <w:tblW w:w="9705" w:type="dxa"/>
        <w:tblInd w:w="-24" w:type="dxa"/>
        <w:tblLayout w:type="fixed"/>
        <w:tblCellMar>
          <w:left w:w="115" w:type="dxa"/>
          <w:right w:w="115" w:type="dxa"/>
        </w:tblCellMar>
        <w:tblLook w:val="0000" w:firstRow="0" w:lastRow="0" w:firstColumn="0" w:lastColumn="0" w:noHBand="0" w:noVBand="0"/>
      </w:tblPr>
      <w:tblGrid>
        <w:gridCol w:w="9705"/>
      </w:tblGrid>
      <w:tr w:rsidR="000876A7" w:rsidRPr="005F00F1" w14:paraId="1283B872" w14:textId="77777777" w:rsidTr="00C249DE">
        <w:trPr>
          <w:trHeight w:val="288"/>
        </w:trPr>
        <w:tc>
          <w:tcPr>
            <w:tcW w:w="9705" w:type="dxa"/>
            <w:shd w:val="clear" w:color="auto" w:fill="595959"/>
            <w:vAlign w:val="center"/>
          </w:tcPr>
          <w:p w14:paraId="600A9F07" w14:textId="7E544BCF" w:rsidR="000876A7" w:rsidRPr="005F00F1" w:rsidRDefault="000876A7" w:rsidP="00C249DE">
            <w:pPr>
              <w:pStyle w:val="Ttulo3"/>
              <w:widowControl w:val="0"/>
              <w:spacing w:before="57" w:after="57"/>
              <w:jc w:val="left"/>
              <w:rPr>
                <w:rFonts w:asciiTheme="minorHAnsi" w:hAnsiTheme="minorHAnsi" w:cstheme="minorHAnsi"/>
                <w:sz w:val="22"/>
                <w:szCs w:val="22"/>
                <w:lang w:val="es-ES" w:eastAsia="es-ES" w:bidi="es-ES"/>
              </w:rPr>
            </w:pPr>
            <w:r w:rsidRPr="005F00F1">
              <w:rPr>
                <w:rFonts w:asciiTheme="minorHAnsi" w:hAnsiTheme="minorHAnsi" w:cstheme="minorHAnsi"/>
                <w:sz w:val="22"/>
                <w:szCs w:val="22"/>
                <w:lang w:val="es-ES" w:eastAsia="es-ES" w:bidi="es-ES"/>
              </w:rPr>
              <w:t xml:space="preserve">Quinta: </w:t>
            </w:r>
            <w:r w:rsidR="00CD6792" w:rsidRPr="005F00F1">
              <w:rPr>
                <w:rFonts w:asciiTheme="minorHAnsi" w:hAnsiTheme="minorHAnsi" w:cstheme="minorHAnsi"/>
                <w:sz w:val="22"/>
                <w:szCs w:val="22"/>
                <w:lang w:val="es-ES" w:eastAsia="es-ES" w:bidi="es-ES"/>
              </w:rPr>
              <w:t xml:space="preserve">Aceptación </w:t>
            </w:r>
          </w:p>
        </w:tc>
      </w:tr>
    </w:tbl>
    <w:p w14:paraId="401CD7E5" w14:textId="77777777" w:rsidR="000876A7" w:rsidRPr="005F00F1" w:rsidRDefault="000876A7">
      <w:pPr>
        <w:spacing w:before="120" w:after="120"/>
        <w:jc w:val="both"/>
        <w:rPr>
          <w:rFonts w:asciiTheme="minorHAnsi" w:hAnsiTheme="minorHAnsi" w:cstheme="minorHAnsi"/>
          <w:sz w:val="20"/>
          <w:szCs w:val="22"/>
          <w:lang w:val="es-ES"/>
        </w:rPr>
      </w:pPr>
    </w:p>
    <w:p w14:paraId="4798A54D" w14:textId="1BFBA030" w:rsidR="005A6D56" w:rsidRPr="005F00F1" w:rsidRDefault="00C36C54">
      <w:pPr>
        <w:spacing w:before="120" w:after="120"/>
        <w:jc w:val="both"/>
        <w:rPr>
          <w:rFonts w:asciiTheme="minorHAnsi" w:hAnsiTheme="minorHAnsi" w:cstheme="minorHAnsi"/>
          <w:sz w:val="20"/>
          <w:szCs w:val="22"/>
          <w:lang w:val="es-ES"/>
        </w:rPr>
      </w:pPr>
      <w:r w:rsidRPr="005F00F1">
        <w:rPr>
          <w:rFonts w:asciiTheme="minorHAnsi" w:hAnsiTheme="minorHAnsi" w:cstheme="minorHAnsi"/>
          <w:sz w:val="20"/>
          <w:szCs w:val="22"/>
          <w:lang w:val="es-ES"/>
        </w:rPr>
        <w:t xml:space="preserve">Para constancia y en fe de aceptación de lo establecido en el presente </w:t>
      </w:r>
      <w:r w:rsidR="00CD6792" w:rsidRPr="005F00F1">
        <w:rPr>
          <w:rFonts w:asciiTheme="minorHAnsi" w:hAnsiTheme="minorHAnsi" w:cstheme="minorHAnsi"/>
          <w:sz w:val="20"/>
          <w:szCs w:val="22"/>
          <w:lang w:val="es-ES"/>
        </w:rPr>
        <w:t>Acuerdo de Confidencialidad, las partes suscriben en tres ejemplares de igual valor y efecto, en la ciudad de ……………………, provincia…………</w:t>
      </w:r>
      <w:proofErr w:type="gramStart"/>
      <w:r w:rsidR="00CD6792" w:rsidRPr="005F00F1">
        <w:rPr>
          <w:rFonts w:asciiTheme="minorHAnsi" w:hAnsiTheme="minorHAnsi" w:cstheme="minorHAnsi"/>
          <w:sz w:val="20"/>
          <w:szCs w:val="22"/>
          <w:lang w:val="es-ES"/>
        </w:rPr>
        <w:t>…….</w:t>
      </w:r>
      <w:proofErr w:type="gramEnd"/>
      <w:r w:rsidR="00CD6792" w:rsidRPr="005F00F1">
        <w:rPr>
          <w:rFonts w:asciiTheme="minorHAnsi" w:hAnsiTheme="minorHAnsi" w:cstheme="minorHAnsi"/>
          <w:sz w:val="20"/>
          <w:szCs w:val="22"/>
          <w:lang w:val="es-ES"/>
        </w:rPr>
        <w:t>.a los ……………días del mes de …………… del año………………….</w:t>
      </w:r>
    </w:p>
    <w:p w14:paraId="73DBFFFE" w14:textId="77777777" w:rsidR="00CD6792" w:rsidRPr="005F00F1" w:rsidRDefault="00CD6792">
      <w:pPr>
        <w:spacing w:before="120" w:after="120"/>
        <w:jc w:val="both"/>
        <w:rPr>
          <w:rFonts w:asciiTheme="minorHAnsi" w:hAnsiTheme="minorHAnsi" w:cstheme="minorHAnsi"/>
          <w:sz w:val="20"/>
          <w:szCs w:val="22"/>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CD6792" w:rsidRPr="005F00F1" w14:paraId="5B80E750" w14:textId="77777777" w:rsidTr="005F00F1">
        <w:tc>
          <w:tcPr>
            <w:tcW w:w="4673" w:type="dxa"/>
          </w:tcPr>
          <w:p w14:paraId="15B279A5" w14:textId="77777777" w:rsidR="005F00F1" w:rsidRPr="00E672DB" w:rsidRDefault="005F00F1" w:rsidP="00C249DE">
            <w:pPr>
              <w:jc w:val="both"/>
              <w:rPr>
                <w:rFonts w:asciiTheme="minorHAnsi" w:hAnsiTheme="minorHAnsi" w:cstheme="minorHAnsi"/>
                <w:b/>
                <w:sz w:val="22"/>
                <w:szCs w:val="22"/>
                <w:lang w:val="es-EC"/>
              </w:rPr>
            </w:pPr>
          </w:p>
          <w:p w14:paraId="1D6725DC" w14:textId="77777777" w:rsidR="005F00F1" w:rsidRPr="00E672DB" w:rsidRDefault="005F00F1" w:rsidP="00C249DE">
            <w:pPr>
              <w:jc w:val="both"/>
              <w:rPr>
                <w:rFonts w:asciiTheme="minorHAnsi" w:hAnsiTheme="minorHAnsi" w:cstheme="minorHAnsi"/>
                <w:b/>
                <w:sz w:val="22"/>
                <w:szCs w:val="22"/>
                <w:lang w:val="es-EC"/>
              </w:rPr>
            </w:pPr>
          </w:p>
          <w:p w14:paraId="1A98B8C3" w14:textId="77777777" w:rsidR="005F00F1" w:rsidRPr="00E672DB" w:rsidRDefault="005F00F1" w:rsidP="00C249DE">
            <w:pPr>
              <w:jc w:val="both"/>
              <w:rPr>
                <w:rFonts w:asciiTheme="minorHAnsi" w:hAnsiTheme="minorHAnsi" w:cstheme="minorHAnsi"/>
                <w:b/>
                <w:sz w:val="22"/>
                <w:szCs w:val="22"/>
                <w:lang w:val="es-EC"/>
              </w:rPr>
            </w:pPr>
          </w:p>
          <w:p w14:paraId="1E554F7E" w14:textId="77777777" w:rsidR="005F00F1" w:rsidRPr="00E672DB" w:rsidRDefault="005F00F1" w:rsidP="00C249DE">
            <w:pPr>
              <w:jc w:val="both"/>
              <w:rPr>
                <w:rFonts w:asciiTheme="minorHAnsi" w:hAnsiTheme="minorHAnsi" w:cstheme="minorHAnsi"/>
                <w:b/>
                <w:sz w:val="22"/>
                <w:szCs w:val="22"/>
                <w:lang w:val="es-EC"/>
              </w:rPr>
            </w:pPr>
          </w:p>
          <w:p w14:paraId="671D6154" w14:textId="77777777" w:rsidR="005F00F1" w:rsidRPr="00E672DB" w:rsidRDefault="005F00F1" w:rsidP="00C249DE">
            <w:pPr>
              <w:jc w:val="both"/>
              <w:rPr>
                <w:rFonts w:asciiTheme="minorHAnsi" w:hAnsiTheme="minorHAnsi" w:cstheme="minorHAnsi"/>
                <w:b/>
                <w:sz w:val="22"/>
                <w:szCs w:val="22"/>
                <w:lang w:val="es-EC"/>
              </w:rPr>
            </w:pPr>
          </w:p>
          <w:p w14:paraId="4246EF78" w14:textId="77777777" w:rsidR="005F00F1" w:rsidRPr="00E672DB" w:rsidRDefault="005F00F1" w:rsidP="00C249DE">
            <w:pPr>
              <w:jc w:val="both"/>
              <w:rPr>
                <w:rFonts w:asciiTheme="minorHAnsi" w:hAnsiTheme="minorHAnsi" w:cstheme="minorHAnsi"/>
                <w:b/>
                <w:sz w:val="22"/>
                <w:szCs w:val="22"/>
                <w:lang w:val="es-EC"/>
              </w:rPr>
            </w:pPr>
          </w:p>
          <w:p w14:paraId="413905D3" w14:textId="77777777" w:rsidR="005F00F1" w:rsidRPr="00E672DB" w:rsidRDefault="005F00F1" w:rsidP="00C249DE">
            <w:pPr>
              <w:jc w:val="both"/>
              <w:rPr>
                <w:rFonts w:asciiTheme="minorHAnsi" w:hAnsiTheme="minorHAnsi" w:cstheme="minorHAnsi"/>
                <w:b/>
                <w:sz w:val="22"/>
                <w:szCs w:val="22"/>
                <w:lang w:val="es-EC"/>
              </w:rPr>
            </w:pPr>
          </w:p>
          <w:p w14:paraId="727EB202" w14:textId="269874F0" w:rsidR="00404B2B" w:rsidRPr="00E672DB" w:rsidRDefault="005F00F1" w:rsidP="00C249DE">
            <w:pPr>
              <w:jc w:val="both"/>
              <w:rPr>
                <w:rFonts w:asciiTheme="minorHAnsi" w:hAnsiTheme="minorHAnsi" w:cstheme="minorHAnsi"/>
                <w:b/>
                <w:sz w:val="22"/>
                <w:szCs w:val="22"/>
                <w:lang w:val="es-EC"/>
              </w:rPr>
            </w:pPr>
            <w:proofErr w:type="gramStart"/>
            <w:r w:rsidRPr="00E672DB">
              <w:rPr>
                <w:rFonts w:asciiTheme="minorHAnsi" w:hAnsiTheme="minorHAnsi" w:cstheme="minorHAnsi"/>
                <w:b/>
                <w:sz w:val="22"/>
                <w:szCs w:val="22"/>
                <w:lang w:val="es-EC"/>
              </w:rPr>
              <w:t>Firma</w:t>
            </w:r>
            <w:r w:rsidR="00404B2B" w:rsidRPr="00E672DB">
              <w:rPr>
                <w:rFonts w:asciiTheme="minorHAnsi" w:hAnsiTheme="minorHAnsi" w:cstheme="minorHAnsi"/>
                <w:b/>
                <w:sz w:val="22"/>
                <w:szCs w:val="22"/>
                <w:lang w:val="es-EC"/>
              </w:rPr>
              <w:t>:…</w:t>
            </w:r>
            <w:proofErr w:type="gramEnd"/>
            <w:r w:rsidR="00404B2B" w:rsidRPr="00E672DB">
              <w:rPr>
                <w:rFonts w:asciiTheme="minorHAnsi" w:hAnsiTheme="minorHAnsi" w:cstheme="minorHAnsi"/>
                <w:b/>
                <w:sz w:val="22"/>
                <w:szCs w:val="22"/>
                <w:lang w:val="es-EC"/>
              </w:rPr>
              <w:t xml:space="preserve">…………………………………………………………… </w:t>
            </w:r>
            <w:r w:rsidR="00CD6792" w:rsidRPr="00E672DB">
              <w:rPr>
                <w:rFonts w:asciiTheme="minorHAnsi" w:hAnsiTheme="minorHAnsi" w:cstheme="minorHAnsi"/>
                <w:b/>
                <w:sz w:val="22"/>
                <w:szCs w:val="22"/>
                <w:lang w:val="es-EC"/>
              </w:rPr>
              <w:t xml:space="preserve"> </w:t>
            </w:r>
          </w:p>
          <w:p w14:paraId="626AAC37" w14:textId="51A9C150" w:rsidR="00E56431" w:rsidRPr="00E672DB" w:rsidRDefault="00CD6792" w:rsidP="00C249DE">
            <w:pPr>
              <w:jc w:val="both"/>
              <w:rPr>
                <w:rFonts w:asciiTheme="minorHAnsi" w:hAnsiTheme="minorHAnsi" w:cstheme="minorHAnsi"/>
                <w:b/>
                <w:sz w:val="22"/>
                <w:szCs w:val="22"/>
                <w:lang w:val="es-EC"/>
              </w:rPr>
            </w:pPr>
            <w:r w:rsidRPr="00E672DB">
              <w:rPr>
                <w:rFonts w:asciiTheme="minorHAnsi" w:hAnsiTheme="minorHAnsi" w:cstheme="minorHAnsi"/>
                <w:b/>
                <w:sz w:val="22"/>
                <w:szCs w:val="22"/>
                <w:lang w:val="es-EC"/>
              </w:rPr>
              <w:t>Gobernador/a</w:t>
            </w:r>
            <w:r w:rsidR="00404B2B" w:rsidRPr="00E672DB">
              <w:rPr>
                <w:rFonts w:asciiTheme="minorHAnsi" w:hAnsiTheme="minorHAnsi" w:cstheme="minorHAnsi"/>
                <w:b/>
                <w:sz w:val="22"/>
                <w:szCs w:val="22"/>
                <w:lang w:val="es-EC"/>
              </w:rPr>
              <w:t xml:space="preserve"> </w:t>
            </w:r>
            <w:r w:rsidR="00E672DB">
              <w:rPr>
                <w:rFonts w:asciiTheme="minorHAnsi" w:hAnsiTheme="minorHAnsi" w:cstheme="minorHAnsi"/>
                <w:b/>
                <w:sz w:val="22"/>
                <w:szCs w:val="22"/>
                <w:lang w:val="es-EC"/>
              </w:rPr>
              <w:t>de la Provincia de Manabí</w:t>
            </w:r>
          </w:p>
          <w:p w14:paraId="1A1A747F" w14:textId="60191D78" w:rsidR="00CD6792" w:rsidRPr="00E672DB" w:rsidRDefault="00CD6792" w:rsidP="00C249DE">
            <w:pPr>
              <w:jc w:val="both"/>
              <w:rPr>
                <w:rFonts w:asciiTheme="minorHAnsi" w:hAnsiTheme="minorHAnsi" w:cstheme="minorHAnsi"/>
                <w:b/>
                <w:sz w:val="22"/>
                <w:szCs w:val="22"/>
                <w:lang w:val="es-EC"/>
              </w:rPr>
            </w:pPr>
          </w:p>
          <w:p w14:paraId="03F3F6C5" w14:textId="2A834A02" w:rsidR="00CD6792" w:rsidRPr="00E672DB" w:rsidRDefault="00CD6792" w:rsidP="00C249DE">
            <w:pPr>
              <w:jc w:val="both"/>
              <w:rPr>
                <w:rFonts w:asciiTheme="minorHAnsi" w:hAnsiTheme="minorHAnsi" w:cstheme="minorHAnsi"/>
                <w:b/>
                <w:sz w:val="22"/>
                <w:szCs w:val="22"/>
                <w:lang w:val="es-EC"/>
              </w:rPr>
            </w:pPr>
          </w:p>
          <w:p w14:paraId="414E93BF" w14:textId="77777777" w:rsidR="00CD6792" w:rsidRPr="00E672DB" w:rsidRDefault="00CD6792" w:rsidP="00C249DE">
            <w:pPr>
              <w:jc w:val="both"/>
              <w:rPr>
                <w:rFonts w:asciiTheme="minorHAnsi" w:hAnsiTheme="minorHAnsi" w:cstheme="minorHAnsi"/>
                <w:sz w:val="22"/>
                <w:szCs w:val="22"/>
                <w:lang w:val="es-EC"/>
              </w:rPr>
            </w:pPr>
            <w:r w:rsidRPr="00E672DB">
              <w:rPr>
                <w:rFonts w:asciiTheme="minorHAnsi" w:hAnsiTheme="minorHAnsi" w:cstheme="minorHAnsi"/>
                <w:b/>
                <w:sz w:val="22"/>
                <w:szCs w:val="22"/>
                <w:lang w:val="es-EC"/>
              </w:rPr>
              <w:t>C.I.</w:t>
            </w:r>
            <w:r w:rsidRPr="00E672DB">
              <w:rPr>
                <w:rFonts w:asciiTheme="minorHAnsi" w:hAnsiTheme="minorHAnsi" w:cstheme="minorHAnsi"/>
                <w:sz w:val="22"/>
                <w:szCs w:val="22"/>
                <w:lang w:val="es-EC"/>
              </w:rPr>
              <w:t xml:space="preserve"> ……………………………</w:t>
            </w:r>
            <w:proofErr w:type="gramStart"/>
            <w:r w:rsidRPr="00E672DB">
              <w:rPr>
                <w:rFonts w:asciiTheme="minorHAnsi" w:hAnsiTheme="minorHAnsi" w:cstheme="minorHAnsi"/>
                <w:sz w:val="22"/>
                <w:szCs w:val="22"/>
                <w:lang w:val="es-EC"/>
              </w:rPr>
              <w:t>…….</w:t>
            </w:r>
            <w:proofErr w:type="gramEnd"/>
            <w:r w:rsidRPr="00E672DB">
              <w:rPr>
                <w:rFonts w:asciiTheme="minorHAnsi" w:hAnsiTheme="minorHAnsi" w:cstheme="minorHAnsi"/>
                <w:sz w:val="22"/>
                <w:szCs w:val="22"/>
                <w:lang w:val="es-EC"/>
              </w:rPr>
              <w:t>.</w:t>
            </w:r>
          </w:p>
        </w:tc>
        <w:tc>
          <w:tcPr>
            <w:tcW w:w="4961" w:type="dxa"/>
          </w:tcPr>
          <w:p w14:paraId="1E6D6E5C" w14:textId="77777777" w:rsidR="005F00F1" w:rsidRPr="00E672DB" w:rsidRDefault="005F00F1" w:rsidP="00C249DE">
            <w:pPr>
              <w:jc w:val="both"/>
              <w:rPr>
                <w:rFonts w:asciiTheme="minorHAnsi" w:hAnsiTheme="minorHAnsi" w:cstheme="minorHAnsi"/>
                <w:b/>
                <w:sz w:val="22"/>
                <w:szCs w:val="22"/>
                <w:lang w:val="es-EC"/>
              </w:rPr>
            </w:pPr>
          </w:p>
          <w:p w14:paraId="25D88AE1" w14:textId="77777777" w:rsidR="005F00F1" w:rsidRPr="00E672DB" w:rsidRDefault="005F00F1" w:rsidP="00C249DE">
            <w:pPr>
              <w:jc w:val="both"/>
              <w:rPr>
                <w:rFonts w:asciiTheme="minorHAnsi" w:hAnsiTheme="minorHAnsi" w:cstheme="minorHAnsi"/>
                <w:b/>
                <w:sz w:val="22"/>
                <w:szCs w:val="22"/>
                <w:lang w:val="es-EC"/>
              </w:rPr>
            </w:pPr>
          </w:p>
          <w:p w14:paraId="6C71E95A" w14:textId="77777777" w:rsidR="005F00F1" w:rsidRPr="00E672DB" w:rsidRDefault="005F00F1" w:rsidP="00C249DE">
            <w:pPr>
              <w:jc w:val="both"/>
              <w:rPr>
                <w:rFonts w:asciiTheme="minorHAnsi" w:hAnsiTheme="minorHAnsi" w:cstheme="minorHAnsi"/>
                <w:b/>
                <w:sz w:val="22"/>
                <w:szCs w:val="22"/>
                <w:lang w:val="es-EC"/>
              </w:rPr>
            </w:pPr>
          </w:p>
          <w:p w14:paraId="779FC6D1" w14:textId="77777777" w:rsidR="005F00F1" w:rsidRPr="00E672DB" w:rsidRDefault="005F00F1" w:rsidP="00C249DE">
            <w:pPr>
              <w:jc w:val="both"/>
              <w:rPr>
                <w:rFonts w:asciiTheme="minorHAnsi" w:hAnsiTheme="minorHAnsi" w:cstheme="minorHAnsi"/>
                <w:b/>
                <w:sz w:val="22"/>
                <w:szCs w:val="22"/>
                <w:lang w:val="es-EC"/>
              </w:rPr>
            </w:pPr>
          </w:p>
          <w:p w14:paraId="27AABE53" w14:textId="77777777" w:rsidR="005F00F1" w:rsidRPr="00E672DB" w:rsidRDefault="005F00F1" w:rsidP="00C249DE">
            <w:pPr>
              <w:jc w:val="both"/>
              <w:rPr>
                <w:rFonts w:asciiTheme="minorHAnsi" w:hAnsiTheme="minorHAnsi" w:cstheme="minorHAnsi"/>
                <w:b/>
                <w:sz w:val="22"/>
                <w:szCs w:val="22"/>
                <w:lang w:val="es-EC"/>
              </w:rPr>
            </w:pPr>
          </w:p>
          <w:p w14:paraId="25F2DE76" w14:textId="77777777" w:rsidR="005F00F1" w:rsidRPr="00E672DB" w:rsidRDefault="005F00F1" w:rsidP="00C249DE">
            <w:pPr>
              <w:jc w:val="both"/>
              <w:rPr>
                <w:rFonts w:asciiTheme="minorHAnsi" w:hAnsiTheme="minorHAnsi" w:cstheme="minorHAnsi"/>
                <w:b/>
                <w:sz w:val="22"/>
                <w:szCs w:val="22"/>
                <w:lang w:val="es-EC"/>
              </w:rPr>
            </w:pPr>
          </w:p>
          <w:p w14:paraId="35FAAA79" w14:textId="77777777" w:rsidR="005F00F1" w:rsidRPr="00E672DB" w:rsidRDefault="005F00F1" w:rsidP="00C249DE">
            <w:pPr>
              <w:jc w:val="both"/>
              <w:rPr>
                <w:rFonts w:asciiTheme="minorHAnsi" w:hAnsiTheme="minorHAnsi" w:cstheme="minorHAnsi"/>
                <w:b/>
                <w:sz w:val="22"/>
                <w:szCs w:val="22"/>
                <w:lang w:val="es-EC"/>
              </w:rPr>
            </w:pPr>
          </w:p>
          <w:p w14:paraId="5695860E" w14:textId="77777777" w:rsidR="005F00F1" w:rsidRPr="00E672DB" w:rsidRDefault="005F00F1" w:rsidP="00C249DE">
            <w:pPr>
              <w:jc w:val="both"/>
              <w:rPr>
                <w:rFonts w:asciiTheme="minorHAnsi" w:hAnsiTheme="minorHAnsi" w:cstheme="minorHAnsi"/>
                <w:b/>
                <w:sz w:val="22"/>
                <w:szCs w:val="22"/>
                <w:lang w:val="es-EC"/>
              </w:rPr>
            </w:pPr>
          </w:p>
          <w:p w14:paraId="1DC011EA" w14:textId="2F853311" w:rsidR="00404B2B" w:rsidRDefault="005F00F1" w:rsidP="00C249DE">
            <w:pPr>
              <w:jc w:val="both"/>
              <w:rPr>
                <w:rFonts w:asciiTheme="minorHAnsi" w:hAnsiTheme="minorHAnsi" w:cstheme="minorHAnsi"/>
                <w:b/>
                <w:sz w:val="22"/>
                <w:szCs w:val="22"/>
              </w:rPr>
            </w:pPr>
            <w:proofErr w:type="spellStart"/>
            <w:proofErr w:type="gramStart"/>
            <w:r>
              <w:rPr>
                <w:rFonts w:asciiTheme="minorHAnsi" w:hAnsiTheme="minorHAnsi" w:cstheme="minorHAnsi"/>
                <w:b/>
                <w:sz w:val="22"/>
                <w:szCs w:val="22"/>
              </w:rPr>
              <w:t>Firma</w:t>
            </w:r>
            <w:proofErr w:type="spellEnd"/>
            <w:r w:rsidR="00404B2B">
              <w:rPr>
                <w:rFonts w:asciiTheme="minorHAnsi" w:hAnsiTheme="minorHAnsi" w:cstheme="minorHAnsi"/>
                <w:b/>
                <w:sz w:val="22"/>
                <w:szCs w:val="22"/>
              </w:rPr>
              <w:t>:…</w:t>
            </w:r>
            <w:proofErr w:type="gramEnd"/>
            <w:r w:rsidR="00404B2B">
              <w:rPr>
                <w:rFonts w:asciiTheme="minorHAnsi" w:hAnsiTheme="minorHAnsi" w:cstheme="minorHAnsi"/>
                <w:b/>
                <w:sz w:val="22"/>
                <w:szCs w:val="22"/>
              </w:rPr>
              <w:t>……………………………………………………………</w:t>
            </w:r>
          </w:p>
          <w:p w14:paraId="7E86D85B" w14:textId="6D252908" w:rsidR="00CD6792" w:rsidRDefault="00404B2B" w:rsidP="00C249DE">
            <w:pPr>
              <w:jc w:val="both"/>
              <w:rPr>
                <w:rFonts w:asciiTheme="minorHAnsi" w:hAnsiTheme="minorHAnsi" w:cstheme="minorHAnsi"/>
                <w:b/>
                <w:sz w:val="22"/>
                <w:szCs w:val="22"/>
              </w:rPr>
            </w:pPr>
            <w:proofErr w:type="spellStart"/>
            <w:r>
              <w:rPr>
                <w:rFonts w:asciiTheme="minorHAnsi" w:hAnsiTheme="minorHAnsi" w:cstheme="minorHAnsi"/>
                <w:b/>
                <w:sz w:val="22"/>
                <w:szCs w:val="22"/>
              </w:rPr>
              <w:t>S</w:t>
            </w:r>
            <w:r w:rsidR="00CD6792" w:rsidRPr="005F00F1">
              <w:rPr>
                <w:rFonts w:asciiTheme="minorHAnsi" w:hAnsiTheme="minorHAnsi" w:cstheme="minorHAnsi"/>
                <w:b/>
                <w:sz w:val="22"/>
                <w:szCs w:val="22"/>
              </w:rPr>
              <w:t>ervidor</w:t>
            </w:r>
            <w:proofErr w:type="spellEnd"/>
            <w:r w:rsidR="00CD6792" w:rsidRPr="005F00F1">
              <w:rPr>
                <w:rFonts w:asciiTheme="minorHAnsi" w:hAnsiTheme="minorHAnsi" w:cstheme="minorHAnsi"/>
                <w:b/>
                <w:sz w:val="22"/>
                <w:szCs w:val="22"/>
              </w:rPr>
              <w:t xml:space="preserve">/a </w:t>
            </w:r>
            <w:proofErr w:type="spellStart"/>
            <w:r w:rsidR="00CD6792" w:rsidRPr="005F00F1">
              <w:rPr>
                <w:rFonts w:asciiTheme="minorHAnsi" w:hAnsiTheme="minorHAnsi" w:cstheme="minorHAnsi"/>
                <w:b/>
                <w:sz w:val="22"/>
                <w:szCs w:val="22"/>
              </w:rPr>
              <w:t>público</w:t>
            </w:r>
            <w:proofErr w:type="spellEnd"/>
            <w:r w:rsidR="00CD6792" w:rsidRPr="005F00F1">
              <w:rPr>
                <w:rFonts w:asciiTheme="minorHAnsi" w:hAnsiTheme="minorHAnsi" w:cstheme="minorHAnsi"/>
                <w:b/>
                <w:sz w:val="22"/>
                <w:szCs w:val="22"/>
              </w:rPr>
              <w:t xml:space="preserve">/a </w:t>
            </w:r>
          </w:p>
          <w:p w14:paraId="418E8F51" w14:textId="77777777" w:rsidR="00404B2B" w:rsidRPr="005F00F1" w:rsidRDefault="00404B2B" w:rsidP="00C249DE">
            <w:pPr>
              <w:jc w:val="both"/>
              <w:rPr>
                <w:rFonts w:asciiTheme="minorHAnsi" w:hAnsiTheme="minorHAnsi" w:cstheme="minorHAnsi"/>
                <w:b/>
                <w:sz w:val="22"/>
                <w:szCs w:val="22"/>
              </w:rPr>
            </w:pPr>
          </w:p>
          <w:p w14:paraId="16271053" w14:textId="704156D6" w:rsidR="00CD6792" w:rsidRPr="005F00F1" w:rsidRDefault="00CD6792" w:rsidP="00C249DE">
            <w:pPr>
              <w:jc w:val="both"/>
              <w:rPr>
                <w:rFonts w:asciiTheme="minorHAnsi" w:hAnsiTheme="minorHAnsi" w:cstheme="minorHAnsi"/>
                <w:b/>
                <w:sz w:val="22"/>
                <w:szCs w:val="22"/>
              </w:rPr>
            </w:pPr>
          </w:p>
          <w:p w14:paraId="73A9FDF7" w14:textId="77777777" w:rsidR="00CD6792" w:rsidRPr="005F00F1" w:rsidRDefault="00CD6792" w:rsidP="00C249DE">
            <w:pPr>
              <w:jc w:val="both"/>
              <w:rPr>
                <w:rFonts w:asciiTheme="minorHAnsi" w:hAnsiTheme="minorHAnsi" w:cstheme="minorHAnsi"/>
                <w:sz w:val="22"/>
                <w:szCs w:val="22"/>
              </w:rPr>
            </w:pPr>
            <w:r w:rsidRPr="005F00F1">
              <w:rPr>
                <w:rFonts w:asciiTheme="minorHAnsi" w:hAnsiTheme="minorHAnsi" w:cstheme="minorHAnsi"/>
                <w:b/>
                <w:sz w:val="22"/>
                <w:szCs w:val="22"/>
              </w:rPr>
              <w:t>C.I……………………………</w:t>
            </w:r>
            <w:proofErr w:type="gramStart"/>
            <w:r w:rsidRPr="005F00F1">
              <w:rPr>
                <w:rFonts w:asciiTheme="minorHAnsi" w:hAnsiTheme="minorHAnsi" w:cstheme="minorHAnsi"/>
                <w:b/>
                <w:sz w:val="22"/>
                <w:szCs w:val="22"/>
              </w:rPr>
              <w:t>…..</w:t>
            </w:r>
            <w:proofErr w:type="gramEnd"/>
          </w:p>
        </w:tc>
      </w:tr>
    </w:tbl>
    <w:p w14:paraId="7C1B1E19" w14:textId="77777777" w:rsidR="005A6D56" w:rsidRPr="005F00F1" w:rsidRDefault="005A6D56">
      <w:pPr>
        <w:pStyle w:val="Sinespaciado"/>
        <w:rPr>
          <w:rFonts w:asciiTheme="minorHAnsi" w:hAnsiTheme="minorHAnsi" w:cstheme="minorHAnsi"/>
          <w:sz w:val="20"/>
          <w:lang w:val="es-ES"/>
        </w:rPr>
      </w:pPr>
    </w:p>
    <w:sectPr w:rsidR="005A6D56" w:rsidRPr="005F00F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985"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89D2F" w14:textId="77777777" w:rsidR="00C378DA" w:rsidRDefault="00C378DA">
      <w:r>
        <w:separator/>
      </w:r>
    </w:p>
  </w:endnote>
  <w:endnote w:type="continuationSeparator" w:id="0">
    <w:p w14:paraId="14AF4735" w14:textId="77777777" w:rsidR="00C378DA" w:rsidRDefault="00C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Source Han Sans CN">
    <w:panose1 w:val="00000000000000000000"/>
    <w:charset w:val="00"/>
    <w:family w:val="roman"/>
    <w:notTrueType/>
    <w:pitch w:val="default"/>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F692" w14:textId="77777777" w:rsidR="00B000F9" w:rsidRDefault="00B000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0A96" w14:textId="77777777" w:rsidR="005A6D56" w:rsidRDefault="00C36C54">
    <w:pPr>
      <w:pStyle w:val="Piedepgina"/>
      <w:jc w:val="right"/>
      <w:rPr>
        <w:sz w:val="20"/>
      </w:rPr>
    </w:pPr>
    <w:r>
      <w:rPr>
        <w:noProof/>
        <w:sz w:val="20"/>
        <w:lang w:val="es-EC" w:eastAsia="es-EC"/>
      </w:rPr>
      <w:drawing>
        <wp:anchor distT="0" distB="0" distL="0" distR="0" simplePos="0" relativeHeight="4" behindDoc="1" locked="0" layoutInCell="0" allowOverlap="1" wp14:anchorId="7959E4CC" wp14:editId="08AB7048">
          <wp:simplePos x="0" y="0"/>
          <wp:positionH relativeFrom="page">
            <wp:align>left</wp:align>
          </wp:positionH>
          <wp:positionV relativeFrom="page">
            <wp:align>bottom</wp:align>
          </wp:positionV>
          <wp:extent cx="7558405" cy="1329055"/>
          <wp:effectExtent l="0" t="0" r="0" b="0"/>
          <wp:wrapNone/>
          <wp:docPr id="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3"/>
                  <pic:cNvPicPr>
                    <a:picLocks noChangeAspect="1" noChangeArrowheads="1"/>
                  </pic:cNvPicPr>
                </pic:nvPicPr>
                <pic:blipFill>
                  <a:blip r:embed="rId1"/>
                  <a:srcRect t="79407"/>
                  <a:stretch>
                    <a:fillRect/>
                  </a:stretch>
                </pic:blipFill>
                <pic:spPr bwMode="auto">
                  <a:xfrm>
                    <a:off x="0" y="0"/>
                    <a:ext cx="7558405" cy="1329055"/>
                  </a:xfrm>
                  <a:prstGeom prst="rect">
                    <a:avLst/>
                  </a:prstGeom>
                </pic:spPr>
              </pic:pic>
            </a:graphicData>
          </a:graphic>
        </wp:anchor>
      </w:drawing>
    </w:r>
  </w:p>
  <w:p w14:paraId="55EFFB0D" w14:textId="77777777" w:rsidR="005A6D56" w:rsidRDefault="005A6D56">
    <w:pPr>
      <w:pStyle w:val="Piedepgina"/>
      <w:jc w:val="center"/>
      <w:rPr>
        <w:i/>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1F7E" w14:textId="77777777" w:rsidR="00B000F9" w:rsidRDefault="00B000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22BF7" w14:textId="77777777" w:rsidR="00C378DA" w:rsidRDefault="00C378DA">
      <w:r>
        <w:separator/>
      </w:r>
    </w:p>
  </w:footnote>
  <w:footnote w:type="continuationSeparator" w:id="0">
    <w:p w14:paraId="33267A34" w14:textId="77777777" w:rsidR="00C378DA" w:rsidRDefault="00C3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535E" w14:textId="77777777" w:rsidR="00B000F9" w:rsidRDefault="00B000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A9B5" w14:textId="147400DE" w:rsidR="005A6D56" w:rsidRDefault="00B000F9">
    <w:pPr>
      <w:pStyle w:val="Encabezado"/>
    </w:pPr>
    <w:r>
      <w:rPr>
        <w:noProof/>
      </w:rPr>
      <w:drawing>
        <wp:anchor distT="0" distB="0" distL="114300" distR="114300" simplePos="0" relativeHeight="251659264" behindDoc="0" locked="0" layoutInCell="1" allowOverlap="1" wp14:anchorId="4151F461" wp14:editId="6889A16F">
          <wp:simplePos x="0" y="0"/>
          <wp:positionH relativeFrom="column">
            <wp:posOffset>-720090</wp:posOffset>
          </wp:positionH>
          <wp:positionV relativeFrom="paragraph">
            <wp:posOffset>-438150</wp:posOffset>
          </wp:positionV>
          <wp:extent cx="7553325" cy="840740"/>
          <wp:effectExtent l="0" t="0" r="9525" b="0"/>
          <wp:wrapTopAndBottom/>
          <wp:docPr id="3" name="Imagen 2">
            <a:extLst xmlns:a="http://schemas.openxmlformats.org/drawingml/2006/main">
              <a:ext uri="{FF2B5EF4-FFF2-40B4-BE49-F238E27FC236}">
                <a16:creationId xmlns:a16="http://schemas.microsoft.com/office/drawing/2014/main" id="{67AD3C5C-B9AB-4541-9EA3-3B6C8D67B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7AD3C5C-B9AB-4541-9EA3-3B6C8D67BA0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8407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14C1" w14:textId="77777777" w:rsidR="00B000F9" w:rsidRDefault="00B000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B2DE97C4"/>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2BD83743"/>
    <w:multiLevelType w:val="multilevel"/>
    <w:tmpl w:val="6E6ED8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A91C63"/>
    <w:multiLevelType w:val="multilevel"/>
    <w:tmpl w:val="6C9CF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832FB7"/>
    <w:multiLevelType w:val="hybridMultilevel"/>
    <w:tmpl w:val="5F629D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DD87B80"/>
    <w:multiLevelType w:val="hybridMultilevel"/>
    <w:tmpl w:val="40E4FE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7CA088D"/>
    <w:multiLevelType w:val="hybridMultilevel"/>
    <w:tmpl w:val="615803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56"/>
    <w:rsid w:val="00034BB8"/>
    <w:rsid w:val="000829F1"/>
    <w:rsid w:val="000876A7"/>
    <w:rsid w:val="000C7D61"/>
    <w:rsid w:val="000E0E6E"/>
    <w:rsid w:val="001269A2"/>
    <w:rsid w:val="002469D4"/>
    <w:rsid w:val="00282654"/>
    <w:rsid w:val="0037406A"/>
    <w:rsid w:val="003A799F"/>
    <w:rsid w:val="00404B2B"/>
    <w:rsid w:val="00463A56"/>
    <w:rsid w:val="00524644"/>
    <w:rsid w:val="005316B3"/>
    <w:rsid w:val="005A6D56"/>
    <w:rsid w:val="005E33A7"/>
    <w:rsid w:val="005F00F1"/>
    <w:rsid w:val="00635EDC"/>
    <w:rsid w:val="00636443"/>
    <w:rsid w:val="00661410"/>
    <w:rsid w:val="00677B8B"/>
    <w:rsid w:val="006F4210"/>
    <w:rsid w:val="008743A7"/>
    <w:rsid w:val="008837F8"/>
    <w:rsid w:val="0092223A"/>
    <w:rsid w:val="00976ADA"/>
    <w:rsid w:val="009C4ABA"/>
    <w:rsid w:val="009D434B"/>
    <w:rsid w:val="00B000F9"/>
    <w:rsid w:val="00BA6B1C"/>
    <w:rsid w:val="00C36C54"/>
    <w:rsid w:val="00C378DA"/>
    <w:rsid w:val="00C93D54"/>
    <w:rsid w:val="00CD6792"/>
    <w:rsid w:val="00CD67C3"/>
    <w:rsid w:val="00D36215"/>
    <w:rsid w:val="00D53EDD"/>
    <w:rsid w:val="00DB5254"/>
    <w:rsid w:val="00E25225"/>
    <w:rsid w:val="00E56431"/>
    <w:rsid w:val="00E672DB"/>
    <w:rsid w:val="00E85A30"/>
    <w:rsid w:val="00ED251B"/>
    <w:rsid w:val="00F604D4"/>
    <w:rsid w:val="00FB0955"/>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F525"/>
  <w15:docId w15:val="{79DDAC91-8577-43BB-A446-BEDA2E23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C" w:eastAsia="es-EC"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C65"/>
    <w:rPr>
      <w:rFonts w:ascii="Arial" w:hAnsi="Arial" w:cs="Arial"/>
      <w:sz w:val="24"/>
      <w:szCs w:val="24"/>
      <w:lang w:val="en-US" w:eastAsia="en-US"/>
    </w:rPr>
  </w:style>
  <w:style w:type="paragraph" w:styleId="Ttulo1">
    <w:name w:val="heading 1"/>
    <w:basedOn w:val="Normal"/>
    <w:next w:val="Normal"/>
    <w:qFormat/>
    <w:rsid w:val="00781C65"/>
    <w:pPr>
      <w:tabs>
        <w:tab w:val="right" w:pos="10080"/>
      </w:tabs>
      <w:spacing w:before="60" w:after="120"/>
      <w:jc w:val="right"/>
      <w:outlineLvl w:val="0"/>
    </w:pPr>
    <w:rPr>
      <w:rFonts w:ascii="Tahoma" w:hAnsi="Tahoma" w:cs="Tahoma"/>
      <w:b/>
      <w:color w:val="333333"/>
      <w:sz w:val="44"/>
      <w:szCs w:val="44"/>
    </w:rPr>
  </w:style>
  <w:style w:type="paragraph" w:styleId="Ttulo2">
    <w:name w:val="heading 2"/>
    <w:basedOn w:val="Normal"/>
    <w:next w:val="Normal"/>
    <w:qFormat/>
    <w:rsid w:val="00781C65"/>
    <w:pPr>
      <w:tabs>
        <w:tab w:val="left" w:pos="7185"/>
      </w:tabs>
      <w:spacing w:after="120"/>
      <w:outlineLvl w:val="1"/>
    </w:pPr>
    <w:rPr>
      <w:rFonts w:ascii="Tahoma" w:hAnsi="Tahoma" w:cs="Tahoma"/>
      <w:b/>
      <w:smallCaps/>
    </w:rPr>
  </w:style>
  <w:style w:type="paragraph" w:styleId="Ttulo3">
    <w:name w:val="heading 3"/>
    <w:basedOn w:val="Normal"/>
    <w:next w:val="Normal"/>
    <w:qFormat/>
    <w:rsid w:val="00781C65"/>
    <w:pPr>
      <w:spacing w:before="40" w:after="40"/>
      <w:jc w:val="center"/>
      <w:outlineLvl w:val="2"/>
    </w:pPr>
    <w:rPr>
      <w:rFonts w:ascii="Tahoma" w:hAnsi="Tahoma" w:cs="Tahoma"/>
      <w:b/>
      <w:smallCaps/>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
    <w:name w:val="Char"/>
    <w:qFormat/>
    <w:rsid w:val="00781C65"/>
    <w:rPr>
      <w:rFonts w:ascii="Tahoma" w:hAnsi="Tahoma" w:cs="Tahoma"/>
      <w:sz w:val="18"/>
      <w:szCs w:val="19"/>
      <w:lang w:val="es-ES" w:eastAsia="es-ES" w:bidi="es-ES"/>
    </w:rPr>
  </w:style>
  <w:style w:type="character" w:customStyle="1" w:styleId="HeadingsChar">
    <w:name w:val="Headings Char"/>
    <w:qFormat/>
    <w:rsid w:val="00781C65"/>
    <w:rPr>
      <w:rFonts w:ascii="Tahoma" w:hAnsi="Tahoma" w:cs="Tahoma"/>
      <w:b/>
      <w:bCs w:val="0"/>
      <w:sz w:val="18"/>
      <w:szCs w:val="19"/>
      <w:lang w:val="es-ES" w:eastAsia="es-ES" w:bidi="es-ES"/>
    </w:rPr>
  </w:style>
  <w:style w:type="character" w:customStyle="1" w:styleId="FieldTextChar">
    <w:name w:val="Field Text Char"/>
    <w:qFormat/>
    <w:rsid w:val="00781C65"/>
    <w:rPr>
      <w:rFonts w:ascii="Tahoma" w:hAnsi="Tahoma" w:cs="Tahoma"/>
      <w:b/>
      <w:bCs w:val="0"/>
      <w:sz w:val="18"/>
      <w:lang w:val="es-ES" w:eastAsia="es-ES" w:bidi="es-ES"/>
    </w:rPr>
  </w:style>
  <w:style w:type="character" w:customStyle="1" w:styleId="StyleFieldTextNotBoldChar">
    <w:name w:val="Style Field Text + Not Bold Char"/>
    <w:qFormat/>
    <w:rsid w:val="00781C65"/>
    <w:rPr>
      <w:rFonts w:ascii="Tahoma" w:hAnsi="Tahoma" w:cs="Tahoma"/>
      <w:b w:val="0"/>
      <w:bCs w:val="0"/>
      <w:sz w:val="18"/>
      <w:lang w:val="es-ES" w:eastAsia="es-ES" w:bidi="es-ES"/>
    </w:rPr>
  </w:style>
  <w:style w:type="character" w:customStyle="1" w:styleId="Style10ptBold">
    <w:name w:val="Style 10 pt Bold"/>
    <w:qFormat/>
    <w:rsid w:val="00781C65"/>
    <w:rPr>
      <w:rFonts w:ascii="Tahoma" w:hAnsi="Tahoma" w:cs="Tahoma"/>
      <w:b/>
      <w:bCs/>
      <w:sz w:val="20"/>
      <w:lang w:val="es-ES" w:eastAsia="es-ES" w:bidi="es-ES"/>
    </w:rPr>
  </w:style>
  <w:style w:type="character" w:customStyle="1" w:styleId="Style10pt">
    <w:name w:val="Style 10 pt"/>
    <w:qFormat/>
    <w:rsid w:val="00781C65"/>
    <w:rPr>
      <w:rFonts w:ascii="Tahoma" w:hAnsi="Tahoma" w:cs="Tahoma"/>
      <w:sz w:val="20"/>
      <w:lang w:val="es-ES" w:eastAsia="es-ES" w:bidi="es-ES"/>
    </w:rPr>
  </w:style>
  <w:style w:type="character" w:customStyle="1" w:styleId="Style10ptBoldUnderline">
    <w:name w:val="Style 10 pt Bold Underline"/>
    <w:qFormat/>
    <w:rsid w:val="00781C65"/>
    <w:rPr>
      <w:rFonts w:ascii="Tahoma" w:hAnsi="Tahoma" w:cs="Tahoma"/>
      <w:b/>
      <w:bCs/>
      <w:sz w:val="20"/>
      <w:u w:val="single"/>
      <w:lang w:val="es-ES" w:eastAsia="es-ES" w:bidi="es-ES"/>
    </w:rPr>
  </w:style>
  <w:style w:type="character" w:customStyle="1" w:styleId="EncabezadoCar">
    <w:name w:val="Encabezado Car"/>
    <w:link w:val="Encabezado"/>
    <w:uiPriority w:val="99"/>
    <w:qFormat/>
    <w:rsid w:val="00212E34"/>
    <w:rPr>
      <w:rFonts w:ascii="Arial" w:hAnsi="Arial" w:cs="Arial"/>
      <w:sz w:val="24"/>
      <w:szCs w:val="24"/>
      <w:lang w:val="en-US" w:eastAsia="en-US"/>
    </w:rPr>
  </w:style>
  <w:style w:type="character" w:customStyle="1" w:styleId="TextodegloboCar">
    <w:name w:val="Texto de globo Car"/>
    <w:link w:val="Textodeglobo"/>
    <w:uiPriority w:val="99"/>
    <w:semiHidden/>
    <w:qFormat/>
    <w:rsid w:val="00212E34"/>
    <w:rPr>
      <w:rFonts w:ascii="Tahoma" w:hAnsi="Tahoma" w:cs="Tahoma"/>
      <w:sz w:val="16"/>
      <w:szCs w:val="16"/>
      <w:lang w:val="en-US" w:eastAsia="en-US"/>
    </w:rPr>
  </w:style>
  <w:style w:type="character" w:styleId="Hipervnculo">
    <w:name w:val="Hyperlink"/>
    <w:uiPriority w:val="99"/>
    <w:unhideWhenUsed/>
    <w:rsid w:val="00E64038"/>
    <w:rPr>
      <w:color w:val="0000FF"/>
      <w:u w:val="single"/>
    </w:rPr>
  </w:style>
  <w:style w:type="character" w:customStyle="1" w:styleId="PiedepginaCar">
    <w:name w:val="Pie de página Car"/>
    <w:link w:val="Piedepgina"/>
    <w:uiPriority w:val="99"/>
    <w:qFormat/>
    <w:rsid w:val="00A943B2"/>
    <w:rPr>
      <w:rFonts w:ascii="Arial" w:hAnsi="Arial" w:cs="Arial"/>
      <w:sz w:val="24"/>
      <w:szCs w:val="24"/>
      <w:lang w:val="en-US" w:eastAsia="en-US"/>
    </w:rPr>
  </w:style>
  <w:style w:type="character" w:styleId="Refdecomentario">
    <w:name w:val="annotation reference"/>
    <w:uiPriority w:val="99"/>
    <w:semiHidden/>
    <w:unhideWhenUsed/>
    <w:qFormat/>
    <w:rsid w:val="00D87346"/>
    <w:rPr>
      <w:sz w:val="16"/>
      <w:szCs w:val="16"/>
    </w:rPr>
  </w:style>
  <w:style w:type="character" w:customStyle="1" w:styleId="TextocomentarioCar">
    <w:name w:val="Texto comentario Car"/>
    <w:link w:val="Textocomentario"/>
    <w:uiPriority w:val="99"/>
    <w:semiHidden/>
    <w:qFormat/>
    <w:rsid w:val="00D87346"/>
    <w:rPr>
      <w:rFonts w:ascii="Arial" w:hAnsi="Arial" w:cs="Arial"/>
      <w:lang w:val="en-US" w:eastAsia="en-US"/>
    </w:rPr>
  </w:style>
  <w:style w:type="character" w:customStyle="1" w:styleId="AsuntodelcomentarioCar">
    <w:name w:val="Asunto del comentario Car"/>
    <w:link w:val="Asuntodelcomentario"/>
    <w:uiPriority w:val="99"/>
    <w:semiHidden/>
    <w:qFormat/>
    <w:rsid w:val="00D87346"/>
    <w:rPr>
      <w:rFonts w:ascii="Arial" w:hAnsi="Arial" w:cs="Arial"/>
      <w:b/>
      <w:bCs/>
      <w:lang w:val="en-US" w:eastAsia="en-US"/>
    </w:rPr>
  </w:style>
  <w:style w:type="character" w:customStyle="1" w:styleId="Mencinsinresolver1">
    <w:name w:val="Mención sin resolver1"/>
    <w:basedOn w:val="Fuentedeprrafopredeter"/>
    <w:uiPriority w:val="99"/>
    <w:semiHidden/>
    <w:unhideWhenUsed/>
    <w:qFormat/>
    <w:rsid w:val="008E16F1"/>
    <w:rPr>
      <w:color w:val="605E5C"/>
      <w:shd w:val="clear" w:color="auto" w:fill="E1DFDD"/>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semiHidden/>
    <w:rsid w:val="00781C65"/>
    <w:pPr>
      <w:spacing w:after="40"/>
      <w:jc w:val="right"/>
    </w:pPr>
    <w:rPr>
      <w:rFonts w:ascii="Tahoma" w:hAnsi="Tahoma" w:cs="Tahoma"/>
      <w:sz w:val="18"/>
      <w:szCs w:val="18"/>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Lohit Devanagari"/>
    </w:rPr>
  </w:style>
  <w:style w:type="paragraph" w:customStyle="1" w:styleId="Ttulo10">
    <w:name w:val="Título1"/>
    <w:basedOn w:val="Normal"/>
    <w:next w:val="Textoindependiente"/>
    <w:qFormat/>
    <w:pPr>
      <w:keepNext/>
      <w:spacing w:before="240" w:after="120"/>
    </w:pPr>
    <w:rPr>
      <w:rFonts w:ascii="Liberation Sans" w:eastAsia="Source Han Sans CN"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Encabezado">
    <w:name w:val="header"/>
    <w:basedOn w:val="Normal"/>
    <w:link w:val="EncabezadoCar"/>
    <w:uiPriority w:val="99"/>
    <w:rsid w:val="00781C65"/>
    <w:pPr>
      <w:tabs>
        <w:tab w:val="center" w:pos="4320"/>
        <w:tab w:val="right" w:pos="8640"/>
      </w:tabs>
    </w:pPr>
    <w:rPr>
      <w:rFonts w:cs="Times New Roman"/>
    </w:rPr>
  </w:style>
  <w:style w:type="paragraph" w:styleId="Piedepgina">
    <w:name w:val="footer"/>
    <w:basedOn w:val="Normal"/>
    <w:link w:val="PiedepginaCar"/>
    <w:uiPriority w:val="99"/>
    <w:rsid w:val="00781C65"/>
    <w:pPr>
      <w:tabs>
        <w:tab w:val="center" w:pos="4320"/>
        <w:tab w:val="right" w:pos="8640"/>
      </w:tabs>
    </w:pPr>
    <w:rPr>
      <w:rFonts w:cs="Times New Roman"/>
    </w:rPr>
  </w:style>
  <w:style w:type="paragraph" w:customStyle="1" w:styleId="Headings">
    <w:name w:val="Headings"/>
    <w:basedOn w:val="Textoindependiente"/>
    <w:qFormat/>
    <w:rsid w:val="00781C65"/>
    <w:pPr>
      <w:jc w:val="left"/>
    </w:pPr>
    <w:rPr>
      <w:b/>
      <w:sz w:val="20"/>
      <w:szCs w:val="20"/>
      <w:lang w:val="es-ES" w:eastAsia="es-ES" w:bidi="es-ES"/>
    </w:rPr>
  </w:style>
  <w:style w:type="paragraph" w:customStyle="1" w:styleId="FieldText">
    <w:name w:val="Field Text"/>
    <w:basedOn w:val="Normal"/>
    <w:qFormat/>
    <w:rsid w:val="00781C65"/>
    <w:rPr>
      <w:rFonts w:ascii="Tahoma" w:hAnsi="Tahoma" w:cs="Tahoma"/>
      <w:b/>
      <w:sz w:val="18"/>
      <w:szCs w:val="18"/>
      <w:lang w:val="es-ES" w:eastAsia="es-ES" w:bidi="es-ES"/>
    </w:rPr>
  </w:style>
  <w:style w:type="paragraph" w:customStyle="1" w:styleId="StyleFieldTextNotBold">
    <w:name w:val="Style Field Text + Not Bold"/>
    <w:basedOn w:val="FieldText"/>
    <w:qFormat/>
    <w:rsid w:val="00781C65"/>
    <w:pPr>
      <w:jc w:val="right"/>
    </w:pPr>
    <w:rPr>
      <w:b w:val="0"/>
    </w:rPr>
  </w:style>
  <w:style w:type="paragraph" w:customStyle="1" w:styleId="Style10ptLeft075Right005">
    <w:name w:val="Style 10 pt Left:  0.75&quot; Right:  0.05&quot;"/>
    <w:basedOn w:val="Normal"/>
    <w:qFormat/>
    <w:rsid w:val="00781C65"/>
    <w:pPr>
      <w:ind w:left="1080" w:right="72"/>
    </w:pPr>
    <w:rPr>
      <w:rFonts w:ascii="Tahoma" w:hAnsi="Tahoma" w:cs="Tahoma"/>
      <w:sz w:val="20"/>
      <w:szCs w:val="20"/>
      <w:lang w:val="es-ES" w:eastAsia="es-ES" w:bidi="es-ES"/>
    </w:rPr>
  </w:style>
  <w:style w:type="paragraph" w:customStyle="1" w:styleId="FieldText2">
    <w:name w:val="Field Text 2"/>
    <w:basedOn w:val="FieldText"/>
    <w:qFormat/>
    <w:rsid w:val="00781C65"/>
    <w:pPr>
      <w:spacing w:after="120"/>
    </w:pPr>
  </w:style>
  <w:style w:type="paragraph" w:styleId="Textodeglobo">
    <w:name w:val="Balloon Text"/>
    <w:basedOn w:val="Normal"/>
    <w:link w:val="TextodegloboCar"/>
    <w:uiPriority w:val="99"/>
    <w:semiHidden/>
    <w:unhideWhenUsed/>
    <w:qFormat/>
    <w:rsid w:val="00212E34"/>
    <w:rPr>
      <w:rFonts w:ascii="Tahoma" w:hAnsi="Tahoma" w:cs="Times New Roman"/>
      <w:sz w:val="16"/>
      <w:szCs w:val="16"/>
    </w:rPr>
  </w:style>
  <w:style w:type="paragraph" w:styleId="Prrafodelista">
    <w:name w:val="List Paragraph"/>
    <w:basedOn w:val="Normal"/>
    <w:uiPriority w:val="34"/>
    <w:qFormat/>
    <w:rsid w:val="00D505F0"/>
    <w:pPr>
      <w:ind w:left="720"/>
      <w:contextualSpacing/>
    </w:pPr>
  </w:style>
  <w:style w:type="paragraph" w:styleId="Textocomentario">
    <w:name w:val="annotation text"/>
    <w:basedOn w:val="Normal"/>
    <w:link w:val="TextocomentarioCar"/>
    <w:uiPriority w:val="99"/>
    <w:semiHidden/>
    <w:unhideWhenUsed/>
    <w:qFormat/>
    <w:rsid w:val="00D87346"/>
    <w:rPr>
      <w:sz w:val="20"/>
      <w:szCs w:val="20"/>
    </w:rPr>
  </w:style>
  <w:style w:type="paragraph" w:styleId="Asuntodelcomentario">
    <w:name w:val="annotation subject"/>
    <w:basedOn w:val="Textocomentario"/>
    <w:next w:val="Textocomentario"/>
    <w:link w:val="AsuntodelcomentarioCar"/>
    <w:uiPriority w:val="99"/>
    <w:semiHidden/>
    <w:unhideWhenUsed/>
    <w:qFormat/>
    <w:rsid w:val="00D87346"/>
    <w:rPr>
      <w:b/>
      <w:bCs/>
    </w:rPr>
  </w:style>
  <w:style w:type="paragraph" w:customStyle="1" w:styleId="Standard">
    <w:name w:val="Standard"/>
    <w:qFormat/>
    <w:rsid w:val="00D20B8B"/>
    <w:pPr>
      <w:widowControl w:val="0"/>
      <w:tabs>
        <w:tab w:val="left" w:pos="709"/>
      </w:tabs>
      <w:spacing w:after="200" w:line="276" w:lineRule="auto"/>
      <w:textAlignment w:val="baseline"/>
    </w:pPr>
    <w:rPr>
      <w:rFonts w:eastAsia="Droid Sans Fallback" w:cs="Lohit Hindi"/>
      <w:color w:val="00000A"/>
      <w:kern w:val="2"/>
      <w:sz w:val="24"/>
      <w:szCs w:val="24"/>
      <w:lang w:eastAsia="zh-CN" w:bidi="hi-IN"/>
    </w:rPr>
  </w:style>
  <w:style w:type="paragraph" w:customStyle="1" w:styleId="Textbody">
    <w:name w:val="Text body"/>
    <w:basedOn w:val="Standard"/>
    <w:qFormat/>
    <w:rsid w:val="00D20B8B"/>
    <w:pPr>
      <w:spacing w:after="120"/>
    </w:pPr>
  </w:style>
  <w:style w:type="paragraph" w:styleId="Sinespaciado">
    <w:name w:val="No Spacing"/>
    <w:uiPriority w:val="1"/>
    <w:qFormat/>
    <w:rsid w:val="00D20B8B"/>
    <w:rPr>
      <w:rFonts w:ascii="Arial" w:hAnsi="Arial" w:cs="Arial"/>
      <w:sz w:val="24"/>
      <w:szCs w:val="24"/>
      <w:lang w:val="en-US" w:eastAsia="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A8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57D04-E6C5-407A-BBE8-FB526C06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Molina</dc:creator>
  <dc:description/>
  <cp:lastModifiedBy>TALENTO HUMANO</cp:lastModifiedBy>
  <cp:revision>2</cp:revision>
  <cp:lastPrinted>2019-06-03T14:41:00Z</cp:lastPrinted>
  <dcterms:created xsi:type="dcterms:W3CDTF">2026-03-24T21:52:00Z</dcterms:created>
  <dcterms:modified xsi:type="dcterms:W3CDTF">2026-03-24T21:52:00Z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TC010908253082</vt:lpwstr>
  </property>
</Properties>
</file>